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附件4：</w:t>
      </w:r>
    </w:p>
    <w:p>
      <w:pPr>
        <w:pStyle w:val="8"/>
        <w:spacing w:line="580" w:lineRule="exact"/>
        <w:ind w:firstLine="883"/>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项目支出绩效自评报告</w:t>
      </w:r>
    </w:p>
    <w:p>
      <w:pPr>
        <w:pStyle w:val="8"/>
        <w:spacing w:line="580" w:lineRule="exact"/>
        <w:ind w:firstLine="883"/>
        <w:jc w:val="center"/>
        <w:rPr>
          <w:rFonts w:hint="default" w:ascii="Times New Roman" w:hAnsi="Times New Roman" w:cs="Times New Roman"/>
          <w:color w:val="auto"/>
        </w:rPr>
      </w:pPr>
      <w:r>
        <w:rPr>
          <w:rFonts w:hint="default" w:ascii="Times New Roman" w:hAnsi="Times New Roman" w:cs="Times New Roman"/>
          <w:color w:val="auto"/>
        </w:rPr>
        <w:t>（四季花田方舱隔离点应急资金项目）</w:t>
      </w:r>
    </w:p>
    <w:p>
      <w:pPr>
        <w:pStyle w:val="8"/>
        <w:spacing w:line="580" w:lineRule="exact"/>
        <w:ind w:firstLine="640"/>
        <w:jc w:val="center"/>
        <w:rPr>
          <w:rFonts w:hint="default" w:ascii="Times New Roman" w:hAnsi="Times New Roman" w:cs="Times New Roman"/>
          <w:color w:val="auto"/>
          <w:kern w:val="2"/>
          <w:szCs w:val="32"/>
        </w:rPr>
      </w:pPr>
    </w:p>
    <w:p>
      <w:pPr>
        <w:adjustRightInd w:val="0"/>
        <w:snapToGrid w:val="0"/>
        <w:spacing w:line="580" w:lineRule="exact"/>
        <w:ind w:firstLine="720"/>
        <w:rPr>
          <w:rFonts w:hint="default" w:ascii="Times New Roman" w:hAnsi="Times New Roman" w:eastAsia="黑体" w:cs="Times New Roman"/>
          <w:color w:val="auto"/>
          <w:lang w:val="zh-CN"/>
        </w:rPr>
      </w:pPr>
      <w:r>
        <w:rPr>
          <w:rFonts w:hint="default" w:ascii="Times New Roman" w:hAnsi="Times New Roman" w:eastAsia="黑体" w:cs="Times New Roman"/>
          <w:color w:val="auto"/>
        </w:rPr>
        <w:t>一、</w:t>
      </w:r>
      <w:r>
        <w:rPr>
          <w:rFonts w:hint="default" w:ascii="Times New Roman" w:hAnsi="Times New Roman" w:eastAsia="黑体" w:cs="Times New Roman"/>
          <w:color w:val="auto"/>
          <w:lang w:val="zh-CN"/>
        </w:rPr>
        <w:t>项目概况</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（一）项目基本情况。</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1.绵竹市农业农村局按照市疫情防控指挥部及隔离点领导小组指示，负责统筹协调绵竹市四季花田方舱隔离点日常运行及管理等工作。</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2.绵竹市四季花田方舱隔离点自2022年10月2日</w:t>
      </w:r>
      <w:r>
        <w:rPr>
          <w:rFonts w:hint="default" w:ascii="Times New Roman" w:hAnsi="Times New Roman" w:cs="Times New Roman"/>
          <w:color w:val="auto"/>
        </w:rPr>
        <w:t>至12月13日期间</w:t>
      </w:r>
      <w:r>
        <w:rPr>
          <w:rFonts w:hint="default" w:ascii="Times New Roman" w:hAnsi="Times New Roman" w:cs="Times New Roman"/>
          <w:color w:val="auto"/>
          <w:lang w:val="zh-CN"/>
        </w:rPr>
        <w:t>，</w:t>
      </w:r>
      <w:r>
        <w:rPr>
          <w:rFonts w:hint="default" w:ascii="Times New Roman" w:hAnsi="Times New Roman" w:cs="Times New Roman"/>
          <w:color w:val="auto"/>
        </w:rPr>
        <w:t>为保障方舱隔离点正常运行，</w:t>
      </w:r>
      <w:r>
        <w:rPr>
          <w:rFonts w:hint="default" w:ascii="Times New Roman" w:hAnsi="Times New Roman" w:cs="Times New Roman"/>
          <w:color w:val="auto"/>
          <w:lang w:val="en-US" w:eastAsia="zh-CN"/>
        </w:rPr>
        <w:t>初步统计</w:t>
      </w:r>
      <w:r>
        <w:rPr>
          <w:rFonts w:hint="default" w:ascii="Times New Roman" w:hAnsi="Times New Roman" w:cs="Times New Roman"/>
          <w:color w:val="auto"/>
        </w:rPr>
        <w:t>共产生</w:t>
      </w:r>
      <w:r>
        <w:rPr>
          <w:rFonts w:hint="default" w:ascii="Times New Roman" w:hAnsi="Times New Roman" w:cs="Times New Roman"/>
          <w:color w:val="auto"/>
          <w:lang w:val="zh-CN"/>
        </w:rPr>
        <w:t>污水转运费、</w:t>
      </w:r>
      <w:r>
        <w:rPr>
          <w:rFonts w:hint="default" w:ascii="Times New Roman" w:hAnsi="Times New Roman" w:cs="Times New Roman"/>
          <w:color w:val="auto"/>
        </w:rPr>
        <w:t>物资采购费、餐费、水电气及其他费用共计</w:t>
      </w:r>
      <w:r>
        <w:rPr>
          <w:rFonts w:hint="eastAsia" w:cs="Times New Roman"/>
          <w:color w:val="auto"/>
          <w:lang w:val="en-US" w:eastAsia="zh-CN"/>
        </w:rPr>
        <w:t>386</w:t>
      </w:r>
      <w:r>
        <w:rPr>
          <w:rFonts w:hint="default" w:ascii="Times New Roman" w:hAnsi="Times New Roman" w:cs="Times New Roman"/>
          <w:color w:val="auto"/>
        </w:rPr>
        <w:t>万余元</w:t>
      </w:r>
      <w:r>
        <w:rPr>
          <w:rFonts w:hint="default" w:ascii="Times New Roman" w:hAnsi="Times New Roman" w:cs="Times New Roman"/>
          <w:color w:val="auto"/>
          <w:lang w:val="zh-CN"/>
        </w:rPr>
        <w:t>。</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3.四季花田方舱隔离点应急资金由绵竹市财政局拨付，仅用于绵竹市四季花田方舱隔离点场所内产生的污水转运费、电费和餐费等刚性费用，以及隔离点运行期间产生的其他费用。</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4．根据四季花田方舱隔离点运行期间不同支出类型的资金数目和项目紧急程度，资金分配顺序为：需每月定期缴费资金或必须预缴项目（如电费、自来水费、网费等）、支出资金数额大的污水转运费和餐费等费用、驻点水电工劳务费及其他相关维修费用等。</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（二）项目绩效目标。</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四季花田方舱隔离点应急资金项目主要用以保障四季花田方舱隔离点的正常运行，支付隔离点场所内产生的污水转运费、电费和水费等刚性费用及其他相关费用。项目绩效目标为：</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数量指标为1个隔离点位。</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质量指标为保障隔离点正常运转率大于等于95%。</w:t>
      </w:r>
    </w:p>
    <w:p>
      <w:pPr>
        <w:adjustRightInd w:val="0"/>
        <w:snapToGrid w:val="0"/>
        <w:spacing w:line="580" w:lineRule="exact"/>
        <w:ind w:firstLine="720"/>
        <w:rPr>
          <w:rFonts w:hint="default" w:ascii="Times New Roman" w:hAnsi="Times New Roman" w:cs="Times New Roman"/>
          <w:color w:val="auto"/>
        </w:rPr>
      </w:pPr>
      <w:r>
        <w:rPr>
          <w:rFonts w:hint="default" w:ascii="Times New Roman" w:hAnsi="Times New Roman" w:cs="Times New Roman"/>
          <w:color w:val="auto"/>
          <w:lang w:val="zh-CN"/>
        </w:rPr>
        <w:t>时效指标为</w:t>
      </w:r>
      <w:r>
        <w:rPr>
          <w:rFonts w:hint="default" w:ascii="Times New Roman" w:hAnsi="Times New Roman" w:cs="Times New Roman"/>
          <w:color w:val="auto"/>
        </w:rPr>
        <w:t>完成时效为2023年12月前。</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成本指标为</w:t>
      </w:r>
      <w:r>
        <w:rPr>
          <w:rFonts w:hint="default" w:ascii="Times New Roman" w:hAnsi="Times New Roman" w:cs="Times New Roman"/>
          <w:color w:val="auto"/>
        </w:rPr>
        <w:t>总计开</w:t>
      </w:r>
      <w:r>
        <w:rPr>
          <w:rFonts w:hint="default" w:ascii="Times New Roman" w:hAnsi="Times New Roman" w:cs="Times New Roman"/>
          <w:color w:val="auto"/>
          <w:lang w:val="zh-CN"/>
        </w:rPr>
        <w:t>支</w:t>
      </w:r>
      <w:r>
        <w:rPr>
          <w:rFonts w:hint="default" w:ascii="Times New Roman" w:hAnsi="Times New Roman" w:cs="Times New Roman"/>
          <w:color w:val="auto"/>
          <w:lang w:val="en-US" w:eastAsia="zh-CN"/>
        </w:rPr>
        <w:t>小于等于</w:t>
      </w:r>
      <w:r>
        <w:rPr>
          <w:rFonts w:hint="default" w:ascii="Times New Roman" w:hAnsi="Times New Roman" w:cs="Times New Roman"/>
          <w:color w:val="auto"/>
          <w:lang w:val="zh-CN"/>
        </w:rPr>
        <w:t>3866076.68万元。</w:t>
      </w:r>
    </w:p>
    <w:p>
      <w:pPr>
        <w:adjustRightInd w:val="0"/>
        <w:snapToGrid w:val="0"/>
        <w:spacing w:line="580" w:lineRule="exact"/>
        <w:ind w:firstLine="720"/>
        <w:rPr>
          <w:rFonts w:hint="default" w:ascii="Times New Roman" w:hAnsi="Times New Roman" w:cs="Times New Roman"/>
          <w:color w:val="auto"/>
        </w:rPr>
      </w:pPr>
      <w:r>
        <w:rPr>
          <w:rFonts w:hint="default" w:ascii="Times New Roman" w:hAnsi="Times New Roman" w:cs="Times New Roman"/>
          <w:color w:val="auto"/>
        </w:rPr>
        <w:t>经济效益指标为资金使用无重大违规违纪问题。</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社会效益指标为有效协助控制疫情传播。</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满意度指标为群众满意度大于等于90%。</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（三）项目自评步骤及方法。</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严格按照有关项目管理制度和财务管理办法</w:t>
      </w:r>
      <w:r>
        <w:rPr>
          <w:rFonts w:hint="default" w:ascii="Times New Roman" w:hAnsi="Times New Roman" w:cs="Times New Roman"/>
          <w:color w:val="auto"/>
        </w:rPr>
        <w:t>进行</w:t>
      </w:r>
      <w:r>
        <w:rPr>
          <w:rFonts w:hint="default" w:ascii="Times New Roman" w:hAnsi="Times New Roman" w:cs="Times New Roman"/>
          <w:color w:val="auto"/>
          <w:lang w:val="zh-CN"/>
        </w:rPr>
        <w:t>项目绩效自评。</w:t>
      </w:r>
    </w:p>
    <w:p>
      <w:pPr>
        <w:adjustRightInd w:val="0"/>
        <w:snapToGrid w:val="0"/>
        <w:spacing w:line="580" w:lineRule="exact"/>
        <w:ind w:firstLine="720"/>
        <w:rPr>
          <w:rFonts w:hint="default" w:ascii="Times New Roman" w:hAnsi="Times New Roman" w:eastAsia="黑体" w:cs="Times New Roman"/>
          <w:color w:val="auto"/>
        </w:rPr>
      </w:pPr>
      <w:r>
        <w:rPr>
          <w:rFonts w:hint="default" w:ascii="Times New Roman" w:hAnsi="Times New Roman" w:eastAsia="黑体" w:cs="Times New Roman"/>
          <w:color w:val="auto"/>
        </w:rPr>
        <w:t>二、项目资金申报及使用情况</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（一）项目资金申报及批复情况。</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经初步统计，四季花田方舱隔离点共计产生污水转运费、物资采购费、餐费、水电气及其他费用共计</w:t>
      </w:r>
      <w:r>
        <w:rPr>
          <w:rFonts w:hint="eastAsia" w:cs="Times New Roman"/>
          <w:color w:val="auto"/>
          <w:lang w:val="en-US" w:eastAsia="zh-CN"/>
        </w:rPr>
        <w:t>386万余</w:t>
      </w:r>
      <w:r>
        <w:rPr>
          <w:rFonts w:hint="default" w:ascii="Times New Roman" w:hAnsi="Times New Roman" w:cs="Times New Roman"/>
          <w:color w:val="auto"/>
          <w:lang w:val="zh-CN"/>
        </w:rPr>
        <w:t>元，已按照相关要求向相关部门报送资金请示。</w:t>
      </w:r>
    </w:p>
    <w:p>
      <w:pPr>
        <w:numPr>
          <w:ilvl w:val="0"/>
          <w:numId w:val="1"/>
        </w:num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资金计划、到位及使用情况。</w:t>
      </w:r>
    </w:p>
    <w:p>
      <w:pPr>
        <w:numPr>
          <w:ilvl w:val="0"/>
          <w:numId w:val="2"/>
        </w:numPr>
        <w:adjustRightInd w:val="0"/>
        <w:snapToGrid w:val="0"/>
        <w:spacing w:line="580" w:lineRule="exact"/>
        <w:ind w:firstLine="64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zh-CN"/>
        </w:rPr>
        <w:t>资金计划。</w:t>
      </w:r>
      <w:r>
        <w:rPr>
          <w:rFonts w:hint="default" w:ascii="Times New Roman" w:hAnsi="Times New Roman" w:cs="Times New Roman"/>
          <w:color w:val="auto"/>
          <w:lang w:val="en-US" w:eastAsia="zh-CN"/>
        </w:rPr>
        <w:t>据初步统计隔离点运行期间产生费用，计划</w:t>
      </w:r>
      <w:r>
        <w:rPr>
          <w:rFonts w:hint="default" w:ascii="Times New Roman" w:hAnsi="Times New Roman" w:cs="Times New Roman"/>
          <w:color w:val="auto"/>
          <w:lang w:val="zh-CN"/>
        </w:rPr>
        <w:t>餐</w:t>
      </w:r>
      <w:r>
        <w:rPr>
          <w:rFonts w:hint="default" w:ascii="Times New Roman" w:hAnsi="Times New Roman" w:cs="Times New Roman"/>
          <w:color w:val="auto"/>
        </w:rPr>
        <w:t>费</w:t>
      </w:r>
      <w:r>
        <w:rPr>
          <w:rFonts w:hint="eastAsia" w:cs="Times New Roman"/>
          <w:color w:val="auto"/>
          <w:lang w:eastAsia="zh-CN"/>
        </w:rPr>
        <w:t>、</w:t>
      </w:r>
      <w:r>
        <w:rPr>
          <w:rFonts w:hint="default" w:ascii="Times New Roman" w:hAnsi="Times New Roman" w:cs="Times New Roman"/>
          <w:color w:val="auto"/>
          <w:lang w:val="en-US" w:eastAsia="zh-CN"/>
        </w:rPr>
        <w:t>工作人员经费</w:t>
      </w:r>
      <w:r>
        <w:rPr>
          <w:rFonts w:hint="eastAsia" w:cs="Times New Roman"/>
          <w:color w:val="auto"/>
          <w:lang w:val="en-US" w:eastAsia="zh-CN"/>
        </w:rPr>
        <w:t>、</w:t>
      </w:r>
      <w:r>
        <w:rPr>
          <w:rFonts w:hint="default" w:ascii="Times New Roman" w:hAnsi="Times New Roman" w:cs="Times New Roman"/>
          <w:color w:val="auto"/>
          <w:lang w:val="zh-CN"/>
        </w:rPr>
        <w:t>污水转运费、</w:t>
      </w:r>
      <w:r>
        <w:rPr>
          <w:rFonts w:hint="default" w:ascii="Times New Roman" w:hAnsi="Times New Roman" w:cs="Times New Roman"/>
          <w:color w:val="auto"/>
          <w:lang w:val="en-US" w:eastAsia="zh-CN"/>
        </w:rPr>
        <w:t>建设维护、紧急物资采购及其他费用</w:t>
      </w:r>
      <w:r>
        <w:rPr>
          <w:rFonts w:hint="default" w:ascii="Times New Roman" w:hAnsi="Times New Roman" w:cs="Times New Roman"/>
          <w:color w:val="auto"/>
        </w:rPr>
        <w:t>共计386</w:t>
      </w:r>
      <w:r>
        <w:rPr>
          <w:rFonts w:hint="eastAsia" w:cs="Times New Roman"/>
          <w:color w:val="auto"/>
          <w:lang w:val="en-US" w:eastAsia="zh-CN"/>
        </w:rPr>
        <w:t>万余</w:t>
      </w:r>
      <w:r>
        <w:rPr>
          <w:rFonts w:hint="default" w:ascii="Times New Roman" w:hAnsi="Times New Roman" w:cs="Times New Roman"/>
          <w:color w:val="auto"/>
        </w:rPr>
        <w:t>元，</w:t>
      </w:r>
      <w:r>
        <w:rPr>
          <w:rFonts w:hint="default" w:ascii="Times New Roman" w:hAnsi="Times New Roman" w:cs="Times New Roman"/>
          <w:color w:val="auto"/>
          <w:lang w:val="en-US" w:eastAsia="zh-CN"/>
        </w:rPr>
        <w:t>计划由本级财政予以解决。</w:t>
      </w:r>
    </w:p>
    <w:p>
      <w:pPr>
        <w:numPr>
          <w:ilvl w:val="0"/>
          <w:numId w:val="2"/>
        </w:numPr>
        <w:adjustRightInd w:val="0"/>
        <w:snapToGrid w:val="0"/>
        <w:spacing w:line="580" w:lineRule="exact"/>
        <w:ind w:firstLine="64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zh-CN" w:eastAsia="zh-CN"/>
        </w:rPr>
        <w:t>资金到位。</w:t>
      </w:r>
      <w:r>
        <w:rPr>
          <w:rFonts w:hint="default" w:ascii="Times New Roman" w:hAnsi="Times New Roman" w:cs="Times New Roman"/>
          <w:color w:val="auto"/>
          <w:lang w:val="en-US" w:eastAsia="zh-CN"/>
        </w:rPr>
        <w:t>经综合测算，共计下达四季花田方舱隔离点应急财政资金</w:t>
      </w:r>
      <w:r>
        <w:rPr>
          <w:rFonts w:hint="default" w:ascii="Times New Roman" w:hAnsi="Times New Roman" w:cs="Times New Roman"/>
          <w:color w:val="auto"/>
          <w:lang w:val="zh-CN" w:eastAsia="zh-CN"/>
        </w:rPr>
        <w:t>3866076.68</w:t>
      </w:r>
      <w:r>
        <w:rPr>
          <w:rFonts w:hint="default" w:ascii="Times New Roman" w:hAnsi="Times New Roman" w:cs="Times New Roman"/>
          <w:color w:val="auto"/>
          <w:lang w:val="en-US" w:eastAsia="zh-CN"/>
        </w:rPr>
        <w:t>元。</w:t>
      </w:r>
    </w:p>
    <w:p>
      <w:pPr>
        <w:numPr>
          <w:ilvl w:val="0"/>
          <w:numId w:val="2"/>
        </w:numPr>
        <w:adjustRightInd w:val="0"/>
        <w:snapToGrid w:val="0"/>
        <w:spacing w:line="580" w:lineRule="exact"/>
        <w:ind w:firstLine="640" w:firstLineChars="200"/>
        <w:rPr>
          <w:rFonts w:hint="default" w:ascii="Times New Roman" w:hAnsi="Times New Roman" w:cs="Times New Roman"/>
          <w:color w:val="auto"/>
          <w:lang w:val="zh-CN" w:eastAsia="zh-CN"/>
        </w:rPr>
      </w:pPr>
      <w:r>
        <w:rPr>
          <w:rFonts w:hint="default" w:ascii="Times New Roman" w:hAnsi="Times New Roman" w:cs="Times New Roman"/>
          <w:color w:val="auto"/>
          <w:lang w:val="zh-CN" w:eastAsia="zh-CN"/>
        </w:rPr>
        <w:t>资金使用。</w:t>
      </w:r>
      <w:r>
        <w:rPr>
          <w:rFonts w:hint="default" w:ascii="Times New Roman" w:hAnsi="Times New Roman" w:cs="Times New Roman"/>
          <w:color w:val="auto"/>
          <w:lang w:val="en-US" w:eastAsia="zh-CN"/>
        </w:rPr>
        <w:t>截至目前，已使用四季花田方舱隔离点应急财政资金3818214.54元</w:t>
      </w:r>
      <w:r>
        <w:rPr>
          <w:rFonts w:hint="default" w:ascii="Times New Roman" w:hAnsi="Times New Roman" w:cs="Times New Roman"/>
          <w:color w:val="auto"/>
          <w:lang w:val="zh-CN" w:eastAsia="zh-CN"/>
        </w:rPr>
        <w:t>。</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（三）项目财务管理情况。</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项目实施单位财务管理制度健全，严格执行财务管理制度，及时处理账务，会计核算规范。</w:t>
      </w:r>
    </w:p>
    <w:p>
      <w:pPr>
        <w:adjustRightInd w:val="0"/>
        <w:snapToGrid w:val="0"/>
        <w:spacing w:line="580" w:lineRule="exact"/>
        <w:ind w:firstLine="720"/>
        <w:rPr>
          <w:rFonts w:hint="default" w:ascii="Times New Roman" w:hAnsi="Times New Roman" w:eastAsia="黑体" w:cs="Times New Roman"/>
          <w:color w:val="auto"/>
        </w:rPr>
      </w:pPr>
      <w:r>
        <w:rPr>
          <w:rFonts w:hint="default" w:ascii="Times New Roman" w:hAnsi="Times New Roman" w:eastAsia="黑体" w:cs="Times New Roman"/>
          <w:color w:val="auto"/>
        </w:rPr>
        <w:t>三、项目实施及管理情况</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（一）项目组织架构及实施流程。</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在项目实施过程中，四季花田方舱隔离点应急资金严格按照有关项目管理制度和财务管理办法实施。</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（二）项目管理情况。</w:t>
      </w:r>
    </w:p>
    <w:p>
      <w:pPr>
        <w:adjustRightInd w:val="0"/>
        <w:snapToGrid w:val="0"/>
        <w:spacing w:line="580" w:lineRule="exact"/>
        <w:ind w:firstLine="7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项目管理严格按照</w:t>
      </w:r>
      <w:r>
        <w:rPr>
          <w:rFonts w:hint="default" w:ascii="Times New Roman" w:hAnsi="Times New Roman" w:cs="Times New Roman"/>
          <w:color w:val="auto"/>
          <w:lang w:val="zh-CN"/>
        </w:rPr>
        <w:t>相关法律法规及项目管理制度执行。</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w:t>
      </w:r>
      <w:r>
        <w:rPr>
          <w:rFonts w:hint="default" w:ascii="Times New Roman" w:hAnsi="Times New Roman" w:cs="Times New Roman"/>
          <w:color w:val="auto"/>
          <w:lang w:val="en-US" w:eastAsia="zh-CN"/>
        </w:rPr>
        <w:t>三</w:t>
      </w:r>
      <w:r>
        <w:rPr>
          <w:rFonts w:hint="default" w:ascii="Times New Roman" w:hAnsi="Times New Roman" w:cs="Times New Roman"/>
          <w:color w:val="auto"/>
          <w:lang w:val="zh-CN"/>
        </w:rPr>
        <w:t>）项目监管情况。</w:t>
      </w:r>
    </w:p>
    <w:p>
      <w:pPr>
        <w:adjustRightInd w:val="0"/>
        <w:snapToGrid w:val="0"/>
        <w:spacing w:line="580" w:lineRule="exact"/>
        <w:ind w:firstLine="7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项目实施过程中受</w:t>
      </w:r>
      <w:r>
        <w:rPr>
          <w:rFonts w:hint="default" w:ascii="Times New Roman" w:hAnsi="Times New Roman" w:cs="Times New Roman"/>
          <w:color w:val="auto"/>
          <w:lang w:val="zh-CN"/>
        </w:rPr>
        <w:t>项目主管部门</w:t>
      </w:r>
      <w:r>
        <w:rPr>
          <w:rFonts w:hint="default" w:ascii="Times New Roman" w:hAnsi="Times New Roman" w:cs="Times New Roman"/>
          <w:color w:val="auto"/>
          <w:lang w:val="en-US" w:eastAsia="zh-CN"/>
        </w:rPr>
        <w:t>及相关单位监管。</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eastAsia="黑体" w:cs="Times New Roman"/>
          <w:color w:val="auto"/>
        </w:rPr>
        <w:t>四、项目绩效情况</w:t>
      </w:r>
      <w:r>
        <w:rPr>
          <w:rFonts w:hint="default" w:ascii="Times New Roman" w:hAnsi="Times New Roman" w:cs="Times New Roman"/>
          <w:color w:val="auto"/>
          <w:lang w:val="zh-CN"/>
        </w:rPr>
        <w:tab/>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一）项目完成情况。数量指标为1个隔离点位，完成率100%；质量指标为保障隔离点正常运转率大于等于95%，完成率100%；时效指标为完成时效为2023年12月，完成率100%；成本指标为总计开支381.821454万元，完成率100%；</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（二）项目效益情况。</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四季花田方舱隔离点应急资金项目用于支持和保障本隔离点的正常运转，有效地控制了疫情传播，群众满意度良好。经济效益指标为资金使用无重大违规违纪问题，完成率100%；社会效益指标为有效协助控制疫情传播，完成率100%；满意度指标为群众满意度大于等于90%，完成率100%。</w:t>
      </w:r>
    </w:p>
    <w:p>
      <w:pPr>
        <w:adjustRightInd w:val="0"/>
        <w:snapToGrid w:val="0"/>
        <w:spacing w:line="580" w:lineRule="exact"/>
        <w:ind w:firstLine="720"/>
        <w:rPr>
          <w:rFonts w:hint="default" w:ascii="Times New Roman" w:hAnsi="Times New Roman" w:eastAsia="黑体" w:cs="Times New Roman"/>
          <w:color w:val="auto"/>
        </w:rPr>
      </w:pPr>
      <w:r>
        <w:rPr>
          <w:rFonts w:hint="default" w:ascii="Times New Roman" w:hAnsi="Times New Roman" w:eastAsia="黑体" w:cs="Times New Roman"/>
          <w:color w:val="auto"/>
        </w:rPr>
        <w:t>五、评价结论及建议</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（一）评价结论。</w:t>
      </w:r>
    </w:p>
    <w:p>
      <w:pPr>
        <w:adjustRightInd w:val="0"/>
        <w:snapToGrid w:val="0"/>
        <w:spacing w:line="580" w:lineRule="exact"/>
        <w:ind w:firstLine="720"/>
        <w:rPr>
          <w:rFonts w:hint="default" w:ascii="Times New Roman" w:hAnsi="Times New Roman" w:cs="Times New Roman"/>
          <w:color w:val="auto"/>
          <w:lang w:val="zh-CN"/>
        </w:rPr>
      </w:pPr>
      <w:r>
        <w:rPr>
          <w:rFonts w:hint="default" w:ascii="Times New Roman" w:hAnsi="Times New Roman" w:cs="Times New Roman"/>
          <w:color w:val="auto"/>
          <w:lang w:val="zh-CN"/>
        </w:rPr>
        <w:t>严格按照项目管理办法实施。</w:t>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（二）存在的问题。</w:t>
      </w:r>
    </w:p>
    <w:p>
      <w:pPr>
        <w:adjustRightInd w:val="0"/>
        <w:snapToGrid w:val="0"/>
        <w:spacing w:line="580" w:lineRule="exact"/>
        <w:ind w:firstLine="640" w:firstLineChars="200"/>
        <w:rPr>
          <w:rFonts w:hint="default" w:ascii="Times New Roman" w:hAnsi="Times New Roman" w:cs="Times New Roman"/>
          <w:color w:val="auto"/>
          <w:lang w:val="zh-CN"/>
        </w:rPr>
      </w:pPr>
      <w:r>
        <w:rPr>
          <w:rFonts w:hint="default" w:ascii="Times New Roman" w:hAnsi="Times New Roman" w:cs="Times New Roman"/>
          <w:color w:val="auto"/>
        </w:rPr>
        <w:t>无</w:t>
      </w:r>
      <w:r>
        <w:rPr>
          <w:rFonts w:hint="default" w:ascii="Times New Roman" w:hAnsi="Times New Roman" w:cs="Times New Roman"/>
          <w:color w:val="auto"/>
          <w:lang w:val="zh-CN"/>
        </w:rPr>
        <w:tab/>
      </w:r>
    </w:p>
    <w:p>
      <w:pPr>
        <w:adjustRightInd w:val="0"/>
        <w:snapToGrid w:val="0"/>
        <w:spacing w:line="580" w:lineRule="exact"/>
        <w:ind w:firstLine="720"/>
        <w:rPr>
          <w:rFonts w:hint="default" w:ascii="Times New Roman" w:hAnsi="Times New Roman" w:eastAsia="楷体_GB2312" w:cs="Times New Roman"/>
          <w:b/>
          <w:color w:val="auto"/>
          <w:lang w:val="zh-CN"/>
        </w:rPr>
      </w:pPr>
      <w:r>
        <w:rPr>
          <w:rFonts w:hint="default" w:ascii="Times New Roman" w:hAnsi="Times New Roman" w:eastAsia="楷体_GB2312" w:cs="Times New Roman"/>
          <w:b/>
          <w:color w:val="auto"/>
          <w:lang w:val="zh-CN"/>
        </w:rPr>
        <w:t>（三）相关建议。</w:t>
      </w:r>
    </w:p>
    <w:p>
      <w:pPr>
        <w:adjustRightInd w:val="0"/>
        <w:snapToGrid w:val="0"/>
        <w:spacing w:line="580" w:lineRule="exact"/>
        <w:ind w:firstLine="640" w:firstLineChars="200"/>
        <w:rPr>
          <w:rFonts w:hint="default" w:ascii="Times New Roman" w:hAnsi="Times New Roman" w:cs="Times New Roman"/>
          <w:color w:val="auto"/>
        </w:rPr>
      </w:pPr>
      <w:r>
        <w:rPr>
          <w:rFonts w:hint="default" w:ascii="Times New Roman" w:hAnsi="Times New Roman" w:cs="Times New Roman"/>
          <w:color w:val="auto"/>
        </w:rPr>
        <w:t>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696597"/>
    <w:multiLevelType w:val="singleLevel"/>
    <w:tmpl w:val="94696597"/>
    <w:lvl w:ilvl="0" w:tentative="0">
      <w:start w:val="2"/>
      <w:numFmt w:val="chineseCounting"/>
      <w:suff w:val="nothing"/>
      <w:lvlText w:val="（%1）"/>
      <w:lvlJc w:val="left"/>
      <w:rPr>
        <w:rFonts w:hint="eastAsia"/>
      </w:rPr>
    </w:lvl>
  </w:abstractNum>
  <w:abstractNum w:abstractNumId="1">
    <w:nsid w:val="4C55DD61"/>
    <w:multiLevelType w:val="singleLevel"/>
    <w:tmpl w:val="4C55DD6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NjMzQxYTE3NDY1YTlmZWJmOTlhODhmOWM2ZTE1YmQifQ=="/>
  </w:docVars>
  <w:rsids>
    <w:rsidRoot w:val="00FD3EFA"/>
    <w:rsid w:val="0019602F"/>
    <w:rsid w:val="001C6BC6"/>
    <w:rsid w:val="00206C28"/>
    <w:rsid w:val="00291918"/>
    <w:rsid w:val="002E7D7A"/>
    <w:rsid w:val="00313D03"/>
    <w:rsid w:val="00427240"/>
    <w:rsid w:val="00516306"/>
    <w:rsid w:val="00543D64"/>
    <w:rsid w:val="00572F4E"/>
    <w:rsid w:val="005842A2"/>
    <w:rsid w:val="008F6FBC"/>
    <w:rsid w:val="008F788A"/>
    <w:rsid w:val="00A25407"/>
    <w:rsid w:val="00A36A47"/>
    <w:rsid w:val="00AB1E4A"/>
    <w:rsid w:val="00AB7A69"/>
    <w:rsid w:val="00AC3975"/>
    <w:rsid w:val="00E10AB9"/>
    <w:rsid w:val="00E4357F"/>
    <w:rsid w:val="00E90284"/>
    <w:rsid w:val="00F251E9"/>
    <w:rsid w:val="00F67C8D"/>
    <w:rsid w:val="00F951B3"/>
    <w:rsid w:val="00FD3EFA"/>
    <w:rsid w:val="00FD62E7"/>
    <w:rsid w:val="02702D13"/>
    <w:rsid w:val="04D1736D"/>
    <w:rsid w:val="04E11CA6"/>
    <w:rsid w:val="08420CAE"/>
    <w:rsid w:val="0B505490"/>
    <w:rsid w:val="0B7F4A99"/>
    <w:rsid w:val="0EB21FBD"/>
    <w:rsid w:val="11DE2D99"/>
    <w:rsid w:val="13A04ADA"/>
    <w:rsid w:val="13B862C8"/>
    <w:rsid w:val="14096B23"/>
    <w:rsid w:val="14CF7CD8"/>
    <w:rsid w:val="1B666609"/>
    <w:rsid w:val="1D085BCA"/>
    <w:rsid w:val="1D3926C7"/>
    <w:rsid w:val="204D7D98"/>
    <w:rsid w:val="21696E53"/>
    <w:rsid w:val="22731A35"/>
    <w:rsid w:val="2342795C"/>
    <w:rsid w:val="238D507B"/>
    <w:rsid w:val="25721C98"/>
    <w:rsid w:val="265A320F"/>
    <w:rsid w:val="2761728D"/>
    <w:rsid w:val="28FC05AD"/>
    <w:rsid w:val="30C47EA6"/>
    <w:rsid w:val="348778C5"/>
    <w:rsid w:val="35B20971"/>
    <w:rsid w:val="384358B1"/>
    <w:rsid w:val="39897C3B"/>
    <w:rsid w:val="3A80103E"/>
    <w:rsid w:val="3BAA13E4"/>
    <w:rsid w:val="3C406CD7"/>
    <w:rsid w:val="3D2D6B2F"/>
    <w:rsid w:val="40582115"/>
    <w:rsid w:val="420E5181"/>
    <w:rsid w:val="425400DE"/>
    <w:rsid w:val="4C586C2C"/>
    <w:rsid w:val="532D11DF"/>
    <w:rsid w:val="53B048A1"/>
    <w:rsid w:val="53E85CD8"/>
    <w:rsid w:val="56BE0ACC"/>
    <w:rsid w:val="5CA02167"/>
    <w:rsid w:val="64550596"/>
    <w:rsid w:val="67AF71A2"/>
    <w:rsid w:val="682E182A"/>
    <w:rsid w:val="69D82BAF"/>
    <w:rsid w:val="69E50BBC"/>
    <w:rsid w:val="6ACA155E"/>
    <w:rsid w:val="6BC77273"/>
    <w:rsid w:val="6EFB40C5"/>
    <w:rsid w:val="767D7C04"/>
    <w:rsid w:val="7A6F3D08"/>
    <w:rsid w:val="7B7F61CD"/>
    <w:rsid w:val="7E374B3D"/>
    <w:rsid w:val="7F756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 w:type="paragraph" w:customStyle="1" w:styleId="8">
    <w:name w:val="四号正文"/>
    <w:basedOn w:val="1"/>
    <w:link w:val="9"/>
    <w:autoRedefine/>
    <w:qFormat/>
    <w:uiPriority w:val="99"/>
    <w:pPr>
      <w:spacing w:line="360" w:lineRule="auto"/>
    </w:pPr>
    <w:rPr>
      <w:rFonts w:ascii="??" w:hAnsi="??" w:eastAsia="宋体"/>
      <w:color w:val="000000"/>
      <w:kern w:val="0"/>
      <w:sz w:val="28"/>
      <w:szCs w:val="21"/>
    </w:rPr>
  </w:style>
  <w:style w:type="character" w:customStyle="1" w:styleId="9">
    <w:name w:val="四号正文 Char"/>
    <w:link w:val="8"/>
    <w:autoRedefine/>
    <w:qFormat/>
    <w:locked/>
    <w:uiPriority w:val="99"/>
    <w:rPr>
      <w:rFonts w:ascii="??" w:hAnsi="??" w:eastAsia="宋体" w:cs="Times New Roman"/>
      <w:color w:val="000000"/>
      <w:kern w:val="0"/>
      <w:sz w:val="28"/>
      <w:szCs w:val="21"/>
    </w:rPr>
  </w:style>
  <w:style w:type="paragraph" w:styleId="1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189</Words>
  <Characters>1078</Characters>
  <Lines>8</Lines>
  <Paragraphs>2</Paragraphs>
  <TotalTime>7</TotalTime>
  <ScaleCrop>false</ScaleCrop>
  <LinksUpToDate>false</LinksUpToDate>
  <CharactersWithSpaces>1265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2020-06-08T02:26:00Z</dcterms:created>
  <dc:creator>opi</dc:creator>
  <cp:lastModifiedBy>ty</cp:lastModifiedBy>
  <dcterms:modified xsi:type="dcterms:W3CDTF">2024-01-04T08:37:24Z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BE4B12335A1E4F2EB1673AB48F7EEDE1_12</vt:lpwstr>
  </property>
</Properties>
</file>