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2023年省级财政农业高质量发展共同财政事权转移支付资金（现代畜牧业高质量发展）项目</w:t>
      </w:r>
      <w:r>
        <w:rPr>
          <w:rFonts w:hint="eastAsia" w:ascii="方正小标宋简体" w:eastAsia="方正小标宋简体"/>
          <w:sz w:val="44"/>
          <w:szCs w:val="44"/>
        </w:rPr>
        <w:t>支出绩效自评报告</w:t>
      </w:r>
    </w:p>
    <w:p>
      <w:pPr>
        <w:pStyle w:val="13"/>
        <w:spacing w:line="580" w:lineRule="exact"/>
        <w:jc w:val="center"/>
        <w:rPr>
          <w:rFonts w:hint="eastAsia" w:ascii="宋体" w:eastAsia="宋体"/>
          <w:color w:val="auto"/>
          <w:kern w:val="2"/>
          <w:sz w:val="32"/>
          <w:szCs w:val="32"/>
          <w:lang w:eastAsia="zh-CN"/>
        </w:rPr>
      </w:pPr>
      <w:r>
        <w:rPr>
          <w:rFonts w:hint="eastAsia" w:ascii="宋体"/>
          <w:color w:val="auto"/>
          <w:kern w:val="2"/>
          <w:sz w:val="32"/>
          <w:szCs w:val="32"/>
          <w:lang w:eastAsia="zh-CN"/>
        </w:rPr>
        <w:t>（德康补短板项目）</w:t>
      </w:r>
    </w:p>
    <w:p>
      <w:pPr>
        <w:adjustRightInd w:val="0"/>
        <w:snapToGrid w:val="0"/>
        <w:spacing w:line="58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（一）项目基本情况。</w:t>
      </w:r>
    </w:p>
    <w:p>
      <w:pPr>
        <w:adjustRightInd w:val="0"/>
        <w:snapToGrid w:val="0"/>
        <w:spacing w:line="580" w:lineRule="exact"/>
        <w:ind w:firstLine="720"/>
        <w:rPr>
          <w:rFonts w:hint="default" w:eastAsia="仿宋_GB2312"/>
          <w:lang w:val="en-US" w:eastAsia="zh-CN"/>
        </w:rPr>
      </w:pPr>
      <w:r>
        <w:rPr>
          <w:rFonts w:hint="eastAsia"/>
        </w:rPr>
        <w:t>根据《</w:t>
      </w:r>
      <w:r>
        <w:rPr>
          <w:rFonts w:hint="eastAsia" w:ascii="Times New Roman" w:hAnsi="Times New Roman" w:eastAsia="仿宋_GB2312" w:cs="Times New Roman"/>
          <w:kern w:val="2"/>
          <w:sz w:val="32"/>
          <w:szCs w:val="32"/>
          <w:lang w:val="en-US" w:eastAsia="zh-CN" w:bidi="ar-SA"/>
        </w:rPr>
        <w:t>根据《四川省财政厅、四川省农业农村厅</w:t>
      </w:r>
      <w:r>
        <w:rPr>
          <w:rFonts w:hint="eastAsia" w:cs="Times New Roman"/>
          <w:kern w:val="2"/>
          <w:sz w:val="32"/>
          <w:szCs w:val="32"/>
          <w:lang w:val="en-US" w:eastAsia="zh-CN" w:bidi="ar-SA"/>
        </w:rPr>
        <w:t>关于下达</w:t>
      </w:r>
      <w:r>
        <w:rPr>
          <w:rFonts w:hint="eastAsia" w:ascii="Times New Roman" w:hAnsi="Times New Roman" w:eastAsia="仿宋_GB2312" w:cs="Times New Roman"/>
          <w:kern w:val="2"/>
          <w:sz w:val="32"/>
          <w:szCs w:val="32"/>
          <w:lang w:val="en-US" w:eastAsia="zh-CN" w:bidi="ar-SA"/>
        </w:rPr>
        <w:t>2023年省级财政农业高质量发展共同财政事权转移支付资金</w:t>
      </w:r>
      <w:r>
        <w:rPr>
          <w:rFonts w:hint="eastAsia" w:cs="Times New Roman"/>
          <w:kern w:val="2"/>
          <w:sz w:val="32"/>
          <w:szCs w:val="32"/>
          <w:lang w:val="en-US" w:eastAsia="zh-CN" w:bidi="ar-SA"/>
        </w:rPr>
        <w:t>的通知</w:t>
      </w:r>
      <w:r>
        <w:rPr>
          <w:rFonts w:hint="eastAsia" w:ascii="Times New Roman" w:hAnsi="Times New Roman" w:eastAsia="仿宋_GB2312" w:cs="Times New Roman"/>
          <w:kern w:val="2"/>
          <w:sz w:val="32"/>
          <w:szCs w:val="32"/>
          <w:lang w:val="en-US" w:eastAsia="zh-CN" w:bidi="ar-SA"/>
        </w:rPr>
        <w:t>》</w:t>
      </w:r>
      <w:r>
        <w:rPr>
          <w:rFonts w:hint="eastAsia" w:cs="Times New Roman"/>
          <w:kern w:val="2"/>
          <w:sz w:val="32"/>
          <w:szCs w:val="32"/>
          <w:lang w:val="en-US" w:eastAsia="zh-CN" w:bidi="ar-SA"/>
        </w:rPr>
        <w:t>（川财农【2023】89号），</w:t>
      </w:r>
      <w:r>
        <w:rPr>
          <w:rFonts w:hint="eastAsia"/>
          <w:lang w:val="en-US" w:eastAsia="zh-CN"/>
        </w:rPr>
        <w:t>2023年下达我市</w:t>
      </w:r>
      <w:r>
        <w:rPr>
          <w:rFonts w:hint="eastAsia" w:ascii="Times New Roman" w:hAnsi="Times New Roman" w:eastAsia="仿宋_GB2312" w:cs="Times New Roman"/>
          <w:kern w:val="2"/>
          <w:sz w:val="32"/>
          <w:szCs w:val="32"/>
          <w:lang w:val="en-US" w:eastAsia="zh-CN" w:bidi="ar-SA"/>
        </w:rPr>
        <w:t>现代畜牧业高质量发展</w:t>
      </w:r>
      <w:r>
        <w:rPr>
          <w:rFonts w:hint="eastAsia" w:cs="Times New Roman"/>
          <w:kern w:val="2"/>
          <w:sz w:val="32"/>
          <w:szCs w:val="32"/>
          <w:lang w:val="en-US" w:eastAsia="zh-CN" w:bidi="ar-SA"/>
        </w:rPr>
        <w:t>资金357万元</w:t>
      </w:r>
      <w:r>
        <w:rPr>
          <w:rFonts w:hint="eastAsia"/>
          <w:lang w:val="en-US" w:eastAsia="zh-CN"/>
        </w:rPr>
        <w:t>，项目资金主要用绵竹市德康生猪养殖公司种猪场、选育场现代化升级改造。</w:t>
      </w:r>
    </w:p>
    <w:p>
      <w:pPr>
        <w:adjustRightInd w:val="0"/>
        <w:snapToGrid w:val="0"/>
        <w:spacing w:line="580" w:lineRule="exact"/>
        <w:ind w:firstLine="643" w:firstLineChars="200"/>
        <w:rPr>
          <w:rFonts w:ascii="楷体_GB2312" w:hAnsi="宋体" w:eastAsia="楷体_GB2312"/>
          <w:b/>
          <w:lang w:val="zh-CN"/>
        </w:rPr>
      </w:pPr>
      <w:r>
        <w:rPr>
          <w:rFonts w:hint="eastAsia" w:ascii="楷体_GB2312" w:hAnsi="宋体" w:eastAsia="楷体_GB2312"/>
          <w:b/>
          <w:lang w:val="zh-CN"/>
        </w:rPr>
        <w:t>（二）项目绩效目标。</w:t>
      </w:r>
    </w:p>
    <w:p>
      <w:pPr>
        <w:adjustRightInd w:val="0"/>
        <w:snapToGrid w:val="0"/>
        <w:spacing w:line="580" w:lineRule="exact"/>
        <w:ind w:firstLine="720"/>
        <w:rPr>
          <w:rFonts w:hint="eastAsia"/>
        </w:rPr>
      </w:pPr>
      <w:r>
        <w:rPr>
          <w:rFonts w:hint="eastAsia" w:ascii="Times New Roman" w:hAnsi="Times New Roman" w:eastAsia="仿宋_GB2312" w:cs="Times New Roman"/>
          <w:kern w:val="2"/>
          <w:sz w:val="32"/>
          <w:szCs w:val="32"/>
          <w:lang w:val="en-US" w:eastAsia="zh-CN" w:bidi="ar-SA"/>
        </w:rPr>
        <w:t>1、生猪生产性能提高1个百分点；2、升级改造标准化圈舍20000平方米</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3、</w:t>
      </w:r>
      <w:r>
        <w:rPr>
          <w:rFonts w:hint="default" w:ascii="Times New Roman" w:hAnsi="Times New Roman" w:eastAsia="仿宋_GB2312" w:cs="Times New Roman"/>
          <w:kern w:val="2"/>
          <w:sz w:val="32"/>
          <w:szCs w:val="32"/>
          <w:lang w:val="en-US" w:eastAsia="zh-CN" w:bidi="ar-SA"/>
        </w:rPr>
        <w:t>粪污处理设施设备</w:t>
      </w:r>
      <w:r>
        <w:rPr>
          <w:rFonts w:hint="eastAsia" w:ascii="Times New Roman" w:hAnsi="Times New Roman" w:eastAsia="仿宋_GB2312" w:cs="Times New Roman"/>
          <w:kern w:val="2"/>
          <w:sz w:val="32"/>
          <w:szCs w:val="32"/>
          <w:lang w:val="en-US" w:eastAsia="zh-CN" w:bidi="ar-SA"/>
        </w:rPr>
        <w:t>升级改造2000立方米；4、绵远种场重新引入优质种猪4500头。</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（三）项目自评步骤及方法。</w:t>
      </w:r>
    </w:p>
    <w:p>
      <w:pPr>
        <w:adjustRightInd w:val="0"/>
        <w:snapToGrid w:val="0"/>
        <w:spacing w:line="580" w:lineRule="exact"/>
        <w:ind w:firstLine="640" w:firstLineChars="200"/>
        <w:rPr>
          <w:rFonts w:ascii="黑体" w:hAnsi="宋体" w:eastAsia="黑体"/>
        </w:rPr>
      </w:pPr>
      <w:r>
        <w:rPr>
          <w:rFonts w:hint="eastAsia" w:ascii="仿宋_GB2312" w:hAnsi="仿宋_GB2312" w:cs="仿宋_GB2312"/>
        </w:rPr>
        <w:t>一是为全面了解工作开展情况及工作成效，加强对补贴对象管理，严格监督资金使用，对补贴工作的自评。二是以</w:t>
      </w:r>
      <w:r>
        <w:rPr>
          <w:rFonts w:hint="eastAsia" w:ascii="仿宋_GB2312" w:hAnsi="仿宋_GB2312" w:cs="仿宋_GB2312"/>
          <w:lang w:eastAsia="zh-CN"/>
        </w:rPr>
        <w:t>养猪户</w:t>
      </w:r>
      <w:r>
        <w:rPr>
          <w:rFonts w:hint="eastAsia" w:ascii="仿宋_GB2312" w:hAnsi="仿宋_GB2312" w:cs="仿宋_GB2312"/>
        </w:rPr>
        <w:t>补贴工作的工作量、服务对象满意度、促进农业产业发展成效等为主要考核标准，对项目工作绩效考评。</w:t>
      </w:r>
    </w:p>
    <w:p>
      <w:pPr>
        <w:adjustRightInd w:val="0"/>
        <w:snapToGrid w:val="0"/>
        <w:spacing w:line="580" w:lineRule="exact"/>
        <w:ind w:firstLine="720"/>
        <w:rPr>
          <w:rFonts w:ascii="黑体" w:hAnsi="宋体" w:eastAsia="黑体"/>
        </w:rPr>
      </w:pPr>
      <w:r>
        <w:rPr>
          <w:rFonts w:hint="eastAsia" w:ascii="黑体" w:hAnsi="宋体" w:eastAsia="黑体"/>
        </w:rPr>
        <w:t>二、项目资金申报及使用情况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（一）项目资金申报及批复情况。</w:t>
      </w:r>
    </w:p>
    <w:p>
      <w:pPr>
        <w:adjustRightInd w:val="0"/>
        <w:snapToGrid w:val="0"/>
        <w:spacing w:line="580" w:lineRule="exact"/>
        <w:ind w:firstLine="480" w:firstLineChars="150"/>
      </w:pPr>
      <w:r>
        <w:rPr>
          <w:rFonts w:ascii="仿宋_GB2312" w:hAnsi="宋体"/>
          <w:lang w:val="zh-CN"/>
        </w:rPr>
        <w:t xml:space="preserve">    </w:t>
      </w:r>
      <w:r>
        <w:rPr>
          <w:rFonts w:hint="eastAsia"/>
        </w:rPr>
        <w:t>根据《</w:t>
      </w:r>
      <w:r>
        <w:rPr>
          <w:rFonts w:hint="eastAsia" w:ascii="Times New Roman" w:hAnsi="Times New Roman" w:eastAsia="仿宋_GB2312" w:cs="Times New Roman"/>
          <w:kern w:val="2"/>
          <w:sz w:val="32"/>
          <w:szCs w:val="32"/>
          <w:lang w:val="en-US" w:eastAsia="zh-CN" w:bidi="ar-SA"/>
        </w:rPr>
        <w:t>根据《四川省财政厅、四川省农业农村厅</w:t>
      </w:r>
      <w:r>
        <w:rPr>
          <w:rFonts w:hint="eastAsia" w:cs="Times New Roman"/>
          <w:kern w:val="2"/>
          <w:sz w:val="32"/>
          <w:szCs w:val="32"/>
          <w:lang w:val="en-US" w:eastAsia="zh-CN" w:bidi="ar-SA"/>
        </w:rPr>
        <w:t>关于下达</w:t>
      </w:r>
      <w:r>
        <w:rPr>
          <w:rFonts w:hint="eastAsia" w:ascii="Times New Roman" w:hAnsi="Times New Roman" w:eastAsia="仿宋_GB2312" w:cs="Times New Roman"/>
          <w:kern w:val="2"/>
          <w:sz w:val="32"/>
          <w:szCs w:val="32"/>
          <w:lang w:val="en-US" w:eastAsia="zh-CN" w:bidi="ar-SA"/>
        </w:rPr>
        <w:t>2023年省级财政农业高质量发展共同财政事权转移支付资金</w:t>
      </w:r>
      <w:r>
        <w:rPr>
          <w:rFonts w:hint="eastAsia" w:cs="Times New Roman"/>
          <w:kern w:val="2"/>
          <w:sz w:val="32"/>
          <w:szCs w:val="32"/>
          <w:lang w:val="en-US" w:eastAsia="zh-CN" w:bidi="ar-SA"/>
        </w:rPr>
        <w:t>的通知</w:t>
      </w:r>
      <w:r>
        <w:rPr>
          <w:rFonts w:hint="eastAsia" w:ascii="Times New Roman" w:hAnsi="Times New Roman" w:eastAsia="仿宋_GB2312" w:cs="Times New Roman"/>
          <w:kern w:val="2"/>
          <w:sz w:val="32"/>
          <w:szCs w:val="32"/>
          <w:lang w:val="en-US" w:eastAsia="zh-CN" w:bidi="ar-SA"/>
        </w:rPr>
        <w:t>》</w:t>
      </w:r>
      <w:r>
        <w:rPr>
          <w:rFonts w:hint="eastAsia" w:cs="Times New Roman"/>
          <w:kern w:val="2"/>
          <w:sz w:val="32"/>
          <w:szCs w:val="32"/>
          <w:lang w:val="en-US" w:eastAsia="zh-CN" w:bidi="ar-SA"/>
        </w:rPr>
        <w:t>（川财农【2023】89号）</w:t>
      </w:r>
      <w:r>
        <w:rPr>
          <w:rFonts w:hint="eastAsia"/>
          <w:lang w:val="en-US" w:eastAsia="zh-CN"/>
        </w:rPr>
        <w:t>2023年下达我市</w:t>
      </w:r>
      <w:r>
        <w:rPr>
          <w:rFonts w:hint="eastAsia" w:ascii="Times New Roman" w:hAnsi="Times New Roman" w:eastAsia="仿宋_GB2312" w:cs="Times New Roman"/>
          <w:kern w:val="2"/>
          <w:sz w:val="32"/>
          <w:szCs w:val="32"/>
          <w:lang w:val="en-US" w:eastAsia="zh-CN" w:bidi="ar-SA"/>
        </w:rPr>
        <w:t>现代畜牧业高质量发展</w:t>
      </w:r>
      <w:r>
        <w:rPr>
          <w:rFonts w:hint="eastAsia" w:cs="Times New Roman"/>
          <w:kern w:val="2"/>
          <w:sz w:val="32"/>
          <w:szCs w:val="32"/>
          <w:lang w:val="en-US" w:eastAsia="zh-CN" w:bidi="ar-SA"/>
        </w:rPr>
        <w:t>资金357万元</w:t>
      </w:r>
      <w:r>
        <w:rPr>
          <w:rFonts w:hint="eastAsia"/>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（二）资金计划、到位及使用情况（可用表格形式反映）。</w:t>
      </w:r>
    </w:p>
    <w:p>
      <w:pPr>
        <w:adjustRightInd w:val="0"/>
        <w:snapToGrid w:val="0"/>
        <w:spacing w:line="580" w:lineRule="exact"/>
        <w:ind w:firstLine="480" w:firstLineChars="150"/>
        <w:rPr>
          <w:rFonts w:hint="eastAsia" w:cs="Times New Roman"/>
          <w:kern w:val="2"/>
          <w:sz w:val="32"/>
          <w:szCs w:val="32"/>
          <w:lang w:val="en-US" w:eastAsia="zh-CN" w:bidi="ar-SA"/>
        </w:rPr>
      </w:pPr>
      <w:r>
        <w:rPr>
          <w:rFonts w:hint="eastAsia" w:cs="Times New Roman"/>
          <w:kern w:val="2"/>
          <w:sz w:val="32"/>
          <w:szCs w:val="32"/>
          <w:lang w:val="en-US" w:eastAsia="zh-CN" w:bidi="ar-SA"/>
        </w:rPr>
        <w:t>项目</w:t>
      </w:r>
      <w:r>
        <w:rPr>
          <w:rFonts w:hint="default" w:cs="Times New Roman"/>
          <w:kern w:val="2"/>
          <w:sz w:val="32"/>
          <w:szCs w:val="32"/>
          <w:lang w:val="en-US" w:eastAsia="zh-CN" w:bidi="ar-SA"/>
        </w:rPr>
        <w:t>总投资</w:t>
      </w:r>
      <w:r>
        <w:rPr>
          <w:rFonts w:hint="eastAsia" w:cs="Times New Roman"/>
          <w:kern w:val="2"/>
          <w:sz w:val="32"/>
          <w:szCs w:val="32"/>
          <w:lang w:val="en-US" w:eastAsia="zh-CN" w:bidi="ar-SA"/>
        </w:rPr>
        <w:t>1430.5933</w:t>
      </w:r>
      <w:r>
        <w:rPr>
          <w:rFonts w:hint="default" w:cs="Times New Roman"/>
          <w:kern w:val="2"/>
          <w:sz w:val="32"/>
          <w:szCs w:val="32"/>
          <w:lang w:val="en-US" w:eastAsia="zh-CN" w:bidi="ar-SA"/>
        </w:rPr>
        <w:t>万元，业主自筹资金</w:t>
      </w:r>
      <w:r>
        <w:rPr>
          <w:rFonts w:hint="eastAsia" w:cs="Times New Roman"/>
          <w:kern w:val="2"/>
          <w:sz w:val="32"/>
          <w:szCs w:val="32"/>
          <w:lang w:val="en-US" w:eastAsia="zh-CN" w:bidi="ar-SA"/>
        </w:rPr>
        <w:t>1073.5933</w:t>
      </w:r>
      <w:r>
        <w:rPr>
          <w:rFonts w:hint="default" w:cs="Times New Roman"/>
          <w:kern w:val="2"/>
          <w:sz w:val="32"/>
          <w:szCs w:val="32"/>
          <w:lang w:val="en-US" w:eastAsia="zh-CN" w:bidi="ar-SA"/>
        </w:rPr>
        <w:t>万元</w:t>
      </w:r>
      <w:r>
        <w:rPr>
          <w:rFonts w:hint="eastAsia" w:cs="Times New Roman"/>
          <w:kern w:val="2"/>
          <w:sz w:val="32"/>
          <w:szCs w:val="32"/>
          <w:lang w:val="en-US" w:eastAsia="zh-CN" w:bidi="ar-SA"/>
        </w:rPr>
        <w:t>，</w:t>
      </w:r>
      <w:r>
        <w:rPr>
          <w:rFonts w:hint="default" w:cs="Times New Roman"/>
          <w:kern w:val="2"/>
          <w:sz w:val="32"/>
          <w:szCs w:val="32"/>
          <w:lang w:val="en-US" w:eastAsia="zh-CN" w:bidi="ar-SA"/>
        </w:rPr>
        <w:t>申请</w:t>
      </w:r>
      <w:r>
        <w:rPr>
          <w:rFonts w:hint="eastAsia" w:cs="Times New Roman"/>
          <w:kern w:val="2"/>
          <w:sz w:val="32"/>
          <w:szCs w:val="32"/>
          <w:lang w:val="en-US" w:eastAsia="zh-CN" w:bidi="ar-SA"/>
        </w:rPr>
        <w:t>财政补助</w:t>
      </w:r>
      <w:r>
        <w:rPr>
          <w:rFonts w:hint="default" w:cs="Times New Roman"/>
          <w:kern w:val="2"/>
          <w:sz w:val="32"/>
          <w:szCs w:val="32"/>
          <w:lang w:val="en-US" w:eastAsia="zh-CN" w:bidi="ar-SA"/>
        </w:rPr>
        <w:t>资金</w:t>
      </w:r>
      <w:r>
        <w:rPr>
          <w:rFonts w:hint="eastAsia" w:cs="Times New Roman"/>
          <w:kern w:val="2"/>
          <w:sz w:val="32"/>
          <w:szCs w:val="32"/>
          <w:lang w:val="en-US" w:eastAsia="zh-CN" w:bidi="ar-SA"/>
        </w:rPr>
        <w:t>357</w:t>
      </w:r>
      <w:r>
        <w:rPr>
          <w:rFonts w:hint="default" w:cs="Times New Roman"/>
          <w:kern w:val="2"/>
          <w:sz w:val="32"/>
          <w:szCs w:val="32"/>
          <w:lang w:val="en-US" w:eastAsia="zh-CN" w:bidi="ar-SA"/>
        </w:rPr>
        <w:t>万元</w:t>
      </w:r>
      <w:r>
        <w:rPr>
          <w:rFonts w:hint="eastAsia" w:cs="Times New Roman"/>
          <w:kern w:val="2"/>
          <w:sz w:val="32"/>
          <w:szCs w:val="32"/>
          <w:lang w:val="en-US" w:eastAsia="zh-CN" w:bidi="ar-SA"/>
        </w:rPr>
        <w:t>。</w:t>
      </w:r>
    </w:p>
    <w:p>
      <w:pPr>
        <w:adjustRightInd w:val="0"/>
        <w:snapToGrid w:val="0"/>
        <w:spacing w:line="580" w:lineRule="exact"/>
        <w:ind w:firstLine="480" w:firstLineChars="150"/>
        <w:rPr>
          <w:rFonts w:hint="eastAsia" w:cs="Times New Roman"/>
          <w:kern w:val="2"/>
          <w:sz w:val="32"/>
          <w:szCs w:val="32"/>
          <w:lang w:val="en-US" w:eastAsia="zh-CN" w:bidi="ar-SA"/>
        </w:rPr>
      </w:pPr>
      <w:r>
        <w:rPr>
          <w:rFonts w:hint="eastAsia" w:cs="Times New Roman"/>
          <w:kern w:val="2"/>
          <w:sz w:val="32"/>
          <w:szCs w:val="32"/>
          <w:lang w:val="en-US" w:eastAsia="zh-CN" w:bidi="ar-SA"/>
        </w:rPr>
        <w:t>使用情况：正在建设，未支付。</w:t>
      </w:r>
    </w:p>
    <w:p>
      <w:pPr>
        <w:ind w:firstLine="643" w:firstLineChars="200"/>
      </w:pPr>
      <w:r>
        <w:rPr>
          <w:rFonts w:hint="eastAsia" w:ascii="楷体_GB2312" w:hAnsi="宋体" w:eastAsia="楷体_GB2312"/>
          <w:b/>
          <w:lang w:val="zh-CN"/>
        </w:rPr>
        <w:t>（三）项目财务管理情况。</w:t>
      </w:r>
    </w:p>
    <w:p>
      <w:pPr>
        <w:widowControl/>
        <w:spacing w:line="520" w:lineRule="exact"/>
        <w:ind w:firstLine="640" w:firstLineChars="200"/>
        <w:rPr>
          <w:rFonts w:ascii="仿宋_GB2312" w:hAnsi="仿宋_GB2312" w:cs="仿宋_GB2312"/>
        </w:rPr>
      </w:pPr>
      <w:r>
        <w:rPr>
          <w:rFonts w:hint="eastAsia" w:ascii="仿宋_GB2312" w:hAnsi="仿宋_GB2312" w:cs="仿宋_GB2312"/>
        </w:rPr>
        <w:t>根据项目管理要求，明确补助对象、补助标准、补助方式、实施要求和监管措施，为确保项目建设廉洁高效，特制定《绵竹市农业农村局农业项目实施管理制度》，其内容主要包括项目资金的使用和管理、严格项目招投标管理、强化项目监管、加强对项目完成情况的检查验收，从而使我市基层农技推广体系改革与建设项目资金的使用和管理按制度执行。</w:t>
      </w:r>
    </w:p>
    <w:p>
      <w:pPr>
        <w:widowControl/>
        <w:spacing w:line="520" w:lineRule="exact"/>
        <w:ind w:firstLine="640" w:firstLineChars="200"/>
        <w:rPr>
          <w:rFonts w:ascii="仿宋_GB2312" w:hAnsi="仿宋_GB2312" w:cs="仿宋_GB2312"/>
          <w:lang w:val="zh-CN"/>
        </w:rPr>
      </w:pPr>
      <w:r>
        <w:rPr>
          <w:rFonts w:hint="eastAsia" w:ascii="仿宋_GB2312" w:hAnsi="仿宋_GB2312" w:cs="仿宋_GB2312"/>
        </w:rPr>
        <w:t>该项目严格按照实施方案的进度安排有序推进工作，资金管理做到专款专用、合理合规，采取报帐制进行管理，按资金使用方案进行开支。</w:t>
      </w:r>
      <w:r>
        <w:rPr>
          <w:rFonts w:hint="eastAsia" w:ascii="仿宋_GB2312" w:hAnsi="仿宋_GB2312" w:cs="仿宋_GB2312"/>
          <w:lang w:val="zh-CN"/>
        </w:rPr>
        <w:t>财务管理制度健全，严格执行财务管理制度，账务处理及时，会计核算规范。</w:t>
      </w:r>
    </w:p>
    <w:p>
      <w:pPr>
        <w:adjustRightInd w:val="0"/>
        <w:snapToGrid w:val="0"/>
        <w:spacing w:line="580" w:lineRule="exact"/>
        <w:ind w:firstLine="720"/>
        <w:rPr>
          <w:rFonts w:ascii="黑体" w:hAnsi="宋体" w:eastAsia="黑体"/>
        </w:rPr>
      </w:pPr>
      <w:r>
        <w:rPr>
          <w:rFonts w:hint="eastAsia" w:ascii="黑体" w:hAnsi="宋体" w:eastAsia="黑体"/>
        </w:rPr>
        <w:t>三、项目实施及管理情况</w:t>
      </w:r>
    </w:p>
    <w:p>
      <w:pPr>
        <w:adjustRightInd w:val="0"/>
        <w:snapToGrid w:val="0"/>
        <w:spacing w:line="580" w:lineRule="exact"/>
        <w:ind w:firstLine="720"/>
        <w:rPr>
          <w:rFonts w:ascii="仿宋_GB2312" w:hAnsi="宋体"/>
          <w:lang w:val="zh-CN"/>
        </w:rPr>
      </w:pPr>
      <w:r>
        <w:rPr>
          <w:rFonts w:hint="eastAsia" w:ascii="仿宋_GB2312" w:hAnsi="宋体"/>
          <w:lang w:val="zh-CN"/>
        </w:rPr>
        <w:t>结合项目组织实施管理办法，重点围绕以下内容进行分析评价，并对自评中发现的问题分析说明。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jc w:val="left"/>
        <w:textAlignment w:val="auto"/>
        <w:rPr>
          <w:rFonts w:hint="eastAsia" w:ascii="仿宋_GB2312" w:hAnsi="仿宋_GB2312" w:cs="仿宋_GB2312"/>
          <w:lang w:val="en-US" w:eastAsia="zh-CN"/>
        </w:rPr>
      </w:pPr>
      <w:r>
        <w:rPr>
          <w:rFonts w:hint="default" w:ascii="Times New Roman" w:hAnsi="Times New Roman" w:eastAsia="楷体_GB2312" w:cs="Times New Roman"/>
          <w:b/>
          <w:sz w:val="32"/>
          <w:szCs w:val="32"/>
          <w:lang w:val="zh-CN"/>
        </w:rPr>
        <w:t>（一）项目组织架构及实施流程。</w:t>
      </w:r>
      <w:r>
        <w:rPr>
          <w:rFonts w:hint="eastAsia" w:ascii="仿宋_GB2312" w:hAnsi="仿宋_GB2312" w:cs="仿宋_GB2312"/>
          <w:lang w:val="en-US" w:eastAsia="zh-CN"/>
        </w:rPr>
        <w:t>农业主管部门根据项目实施方案建设内容、业主自筹资金能力和实施项目能力等，在不突破财政资金补助标准的前提下，合理确定单个项目财政资金扶持额度。</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jc w:val="left"/>
        <w:textAlignment w:val="auto"/>
        <w:rPr>
          <w:rFonts w:hint="eastAsia" w:ascii="仿宋_GB2312" w:hAnsi="仿宋_GB2312" w:cs="仿宋_GB2312"/>
          <w:lang w:val="en-US" w:eastAsia="zh-CN"/>
        </w:rPr>
      </w:pPr>
      <w:r>
        <w:rPr>
          <w:rFonts w:hint="default" w:ascii="Times New Roman" w:hAnsi="Times New Roman" w:eastAsia="楷体_GB2312" w:cs="Times New Roman"/>
          <w:b/>
          <w:sz w:val="32"/>
          <w:szCs w:val="32"/>
          <w:lang w:val="zh-CN"/>
        </w:rPr>
        <w:t>（二）项目管理情况。</w:t>
      </w:r>
      <w:r>
        <w:rPr>
          <w:rFonts w:hint="eastAsia" w:ascii="仿宋_GB2312" w:hAnsi="仿宋_GB2312" w:cs="仿宋_GB2312"/>
          <w:lang w:val="en-US" w:eastAsia="zh-CN"/>
        </w:rPr>
        <w:t>由农业主管部门党组会通过项目实施方案后，报市政府批复后，可组织项目实施。</w:t>
      </w:r>
    </w:p>
    <w:p>
      <w:pPr>
        <w:adjustRightInd w:val="0"/>
        <w:snapToGrid w:val="0"/>
        <w:spacing w:line="580" w:lineRule="exact"/>
        <w:ind w:firstLine="720"/>
        <w:rPr>
          <w:rFonts w:hint="eastAsia" w:ascii="仿宋_GB2312" w:hAnsi="仿宋_GB2312" w:cs="仿宋_GB2312"/>
          <w:lang w:val="en-US" w:eastAsia="zh-CN"/>
        </w:rPr>
      </w:pPr>
      <w:r>
        <w:rPr>
          <w:rFonts w:hint="default" w:ascii="Times New Roman" w:hAnsi="Times New Roman" w:eastAsia="楷体_GB2312" w:cs="Times New Roman"/>
          <w:b/>
          <w:sz w:val="32"/>
          <w:szCs w:val="32"/>
          <w:lang w:val="zh-CN"/>
        </w:rPr>
        <w:t>（三）项目监管情况。</w:t>
      </w:r>
      <w:r>
        <w:rPr>
          <w:rFonts w:hint="eastAsia" w:ascii="仿宋_GB2312" w:hAnsi="仿宋_GB2312" w:cs="仿宋_GB2312"/>
          <w:lang w:val="en-US" w:eastAsia="zh-CN"/>
        </w:rPr>
        <w:t>项目完工后，项目实施业主向农业主管部门申请验收，农业主管部门按照《四川省畜禽规模养殖场补助建设项目验收工作指南》等相应的规定组织考核和验收。对验收合格的，及时拨付项目资金；对验收不合格的，提出整改要求，按规定时限再次组织验收；若超过整改时限，仍未达到规定要求，取消补贴资格。</w:t>
      </w:r>
    </w:p>
    <w:p>
      <w:pPr>
        <w:adjustRightInd w:val="0"/>
        <w:snapToGrid w:val="0"/>
        <w:spacing w:line="580" w:lineRule="exact"/>
        <w:ind w:firstLine="720"/>
        <w:rPr>
          <w:rFonts w:hint="eastAsia" w:ascii="仿宋_GB2312" w:hAnsi="仿宋_GB2312" w:cs="仿宋_GB2312"/>
          <w:lang w:val="en-US" w:eastAsia="zh-CN"/>
        </w:rPr>
      </w:pPr>
      <w:r>
        <w:rPr>
          <w:rFonts w:hint="eastAsia" w:ascii="Times New Roman" w:hAnsi="Times New Roman" w:eastAsia="楷体_GB2312" w:cs="Times New Roman"/>
          <w:b/>
          <w:sz w:val="32"/>
          <w:szCs w:val="32"/>
          <w:lang w:val="en-US" w:eastAsia="zh-CN"/>
        </w:rPr>
        <w:t>（四）项目预算、结算及审计。</w:t>
      </w:r>
      <w:r>
        <w:rPr>
          <w:rFonts w:hint="eastAsia" w:ascii="仿宋_GB2312" w:hAnsi="仿宋_GB2312" w:cs="仿宋_GB2312"/>
          <w:lang w:val="en-US" w:eastAsia="zh-CN"/>
        </w:rPr>
        <w:t>业主需委托第三方编制项目资金预算，实施完成后，委托第三方编制项目资金结算及项目审计报告。</w:t>
      </w:r>
    </w:p>
    <w:p>
      <w:pPr>
        <w:adjustRightInd w:val="0"/>
        <w:snapToGrid w:val="0"/>
        <w:spacing w:line="580" w:lineRule="exact"/>
        <w:ind w:firstLine="720"/>
        <w:rPr>
          <w:rFonts w:ascii="仿宋_GB2312" w:hAnsi="宋体"/>
          <w:lang w:val="zh-CN"/>
        </w:rPr>
      </w:pPr>
      <w:r>
        <w:rPr>
          <w:rFonts w:hint="eastAsia" w:ascii="黑体" w:hAnsi="宋体" w:eastAsia="黑体"/>
        </w:rPr>
        <w:t>四、项目绩效情况</w:t>
      </w:r>
      <w:r>
        <w:rPr>
          <w:rFonts w:ascii="仿宋_GB2312" w:hAnsi="宋体"/>
          <w:lang w:val="zh-CN"/>
        </w:rPr>
        <w:tab/>
      </w:r>
    </w:p>
    <w:p>
      <w:pPr>
        <w:adjustRightInd w:val="0"/>
        <w:snapToGrid w:val="0"/>
        <w:spacing w:line="580" w:lineRule="exact"/>
        <w:ind w:firstLine="720"/>
        <w:rPr>
          <w:rFonts w:hint="eastAsia" w:ascii="楷体_GB2312" w:hAnsi="宋体" w:eastAsia="楷体_GB2312"/>
          <w:b/>
          <w:lang w:val="zh-CN"/>
        </w:rPr>
      </w:pPr>
      <w:r>
        <w:rPr>
          <w:rFonts w:hint="eastAsia" w:ascii="楷体_GB2312" w:hAnsi="宋体" w:eastAsia="楷体_GB2312"/>
          <w:b/>
          <w:lang w:val="zh-CN"/>
        </w:rPr>
        <w:t>（一）项目完成情况。</w:t>
      </w:r>
    </w:p>
    <w:p>
      <w:pPr>
        <w:adjustRightInd w:val="0"/>
        <w:snapToGrid w:val="0"/>
        <w:spacing w:line="580" w:lineRule="exact"/>
        <w:ind w:firstLine="720"/>
        <w:rPr>
          <w:rFonts w:hint="default" w:ascii="仿宋_GB2312" w:hAnsi="仿宋_GB2312" w:cs="仿宋_GB2312"/>
          <w:lang w:val="en-US" w:eastAsia="zh-CN"/>
        </w:rPr>
      </w:pPr>
      <w:bookmarkStart w:id="0" w:name="_GoBack"/>
      <w:r>
        <w:rPr>
          <w:rFonts w:hint="eastAsia" w:ascii="仿宋_GB2312" w:hAnsi="仿宋_GB2312" w:cs="仿宋_GB2312"/>
          <w:lang w:val="en-US" w:eastAsia="zh-CN"/>
        </w:rPr>
        <w:t>项目</w:t>
      </w:r>
      <w:r>
        <w:rPr>
          <w:rFonts w:hint="default" w:ascii="仿宋_GB2312" w:hAnsi="仿宋_GB2312" w:cs="仿宋_GB2312"/>
          <w:lang w:val="en-US" w:eastAsia="zh-CN"/>
        </w:rPr>
        <w:t>总投资</w:t>
      </w:r>
      <w:r>
        <w:rPr>
          <w:rFonts w:hint="eastAsia" w:ascii="仿宋_GB2312" w:hAnsi="仿宋_GB2312" w:cs="仿宋_GB2312"/>
          <w:lang w:val="en-US" w:eastAsia="zh-CN"/>
        </w:rPr>
        <w:t>1430.5933</w:t>
      </w:r>
      <w:r>
        <w:rPr>
          <w:rFonts w:hint="default" w:ascii="仿宋_GB2312" w:hAnsi="仿宋_GB2312" w:cs="仿宋_GB2312"/>
          <w:lang w:val="en-US" w:eastAsia="zh-CN"/>
        </w:rPr>
        <w:t>万元，业主自筹资金</w:t>
      </w:r>
      <w:r>
        <w:rPr>
          <w:rFonts w:hint="eastAsia" w:ascii="仿宋_GB2312" w:hAnsi="仿宋_GB2312" w:cs="仿宋_GB2312"/>
          <w:lang w:val="en-US" w:eastAsia="zh-CN"/>
        </w:rPr>
        <w:t>1073.5933</w:t>
      </w:r>
      <w:r>
        <w:rPr>
          <w:rFonts w:hint="default" w:ascii="仿宋_GB2312" w:hAnsi="仿宋_GB2312" w:cs="仿宋_GB2312"/>
          <w:lang w:val="en-US" w:eastAsia="zh-CN"/>
        </w:rPr>
        <w:t>万元</w:t>
      </w:r>
      <w:r>
        <w:rPr>
          <w:rFonts w:hint="eastAsia" w:ascii="仿宋_GB2312" w:hAnsi="仿宋_GB2312" w:cs="仿宋_GB2312"/>
          <w:lang w:val="en-US" w:eastAsia="zh-CN"/>
        </w:rPr>
        <w:t>，</w:t>
      </w:r>
      <w:r>
        <w:rPr>
          <w:rFonts w:hint="default" w:ascii="仿宋_GB2312" w:hAnsi="仿宋_GB2312" w:cs="仿宋_GB2312"/>
          <w:lang w:val="en-US" w:eastAsia="zh-CN"/>
        </w:rPr>
        <w:t>申请</w:t>
      </w:r>
      <w:r>
        <w:rPr>
          <w:rFonts w:hint="eastAsia" w:ascii="仿宋_GB2312" w:hAnsi="仿宋_GB2312" w:cs="仿宋_GB2312"/>
          <w:lang w:val="en-US" w:eastAsia="zh-CN"/>
        </w:rPr>
        <w:t>财政补助</w:t>
      </w:r>
      <w:r>
        <w:rPr>
          <w:rFonts w:hint="default" w:ascii="仿宋_GB2312" w:hAnsi="仿宋_GB2312" w:cs="仿宋_GB2312"/>
          <w:lang w:val="en-US" w:eastAsia="zh-CN"/>
        </w:rPr>
        <w:t>资金</w:t>
      </w:r>
      <w:r>
        <w:rPr>
          <w:rFonts w:hint="eastAsia" w:ascii="仿宋_GB2312" w:hAnsi="仿宋_GB2312" w:cs="仿宋_GB2312"/>
          <w:lang w:val="en-US" w:eastAsia="zh-CN"/>
        </w:rPr>
        <w:t>357</w:t>
      </w:r>
      <w:r>
        <w:rPr>
          <w:rFonts w:hint="default" w:ascii="仿宋_GB2312" w:hAnsi="仿宋_GB2312" w:cs="仿宋_GB2312"/>
          <w:lang w:val="en-US" w:eastAsia="zh-CN"/>
        </w:rPr>
        <w:t>万元</w:t>
      </w:r>
      <w:r>
        <w:rPr>
          <w:rFonts w:hint="eastAsia" w:ascii="仿宋_GB2312" w:hAnsi="仿宋_GB2312" w:cs="仿宋_GB2312"/>
          <w:lang w:val="en-US" w:eastAsia="zh-CN"/>
        </w:rPr>
        <w:t>。目前已完成投资480万元。</w:t>
      </w:r>
    </w:p>
    <w:bookmarkEnd w:id="0"/>
    <w:p>
      <w:pPr>
        <w:adjustRightInd w:val="0"/>
        <w:snapToGrid w:val="0"/>
        <w:spacing w:line="580" w:lineRule="exact"/>
        <w:ind w:firstLine="643" w:firstLineChars="200"/>
        <w:rPr>
          <w:rFonts w:ascii="楷体_GB2312" w:hAnsi="宋体" w:eastAsia="楷体_GB2312"/>
          <w:b/>
          <w:lang w:val="zh-CN"/>
        </w:rPr>
      </w:pPr>
      <w:r>
        <w:rPr>
          <w:rFonts w:hint="eastAsia" w:ascii="楷体_GB2312" w:hAnsi="宋体" w:eastAsia="楷体_GB2312"/>
          <w:b/>
          <w:lang w:val="zh-CN"/>
        </w:rPr>
        <w:t>（二）项目效益情况。</w:t>
      </w:r>
    </w:p>
    <w:p>
      <w:pPr>
        <w:pageBreakBefore w:val="0"/>
        <w:kinsoku/>
        <w:wordWrap/>
        <w:overflowPunct/>
        <w:topLinePunct w:val="0"/>
        <w:autoSpaceDE/>
        <w:autoSpaceDN/>
        <w:bidi w:val="0"/>
        <w:adjustRightInd w:val="0"/>
        <w:snapToGrid/>
        <w:spacing w:line="240" w:lineRule="atLeast"/>
        <w:ind w:firstLine="643" w:firstLineChars="200"/>
        <w:outlineLvl w:val="9"/>
        <w:rPr>
          <w:rFonts w:hint="default" w:ascii="Times New Roman" w:hAnsi="Times New Roman" w:eastAsia="仿宋_GB2312" w:cs="Times New Roman"/>
          <w:color w:val="000000" w:themeColor="text1"/>
          <w:kern w:val="0"/>
          <w:sz w:val="32"/>
          <w:szCs w:val="24"/>
          <w:lang w:val="en-US" w:eastAsia="zh-CN" w:bidi="ar-SA"/>
        </w:rPr>
      </w:pPr>
      <w:r>
        <w:rPr>
          <w:rFonts w:hint="eastAsia" w:ascii="Times New Roman" w:hAnsi="Times New Roman" w:eastAsia="楷体_GB2312" w:cs="Times New Roman"/>
          <w:b/>
          <w:bCs/>
          <w:color w:val="000000" w:themeColor="text1"/>
          <w:sz w:val="32"/>
          <w:szCs w:val="40"/>
          <w:lang w:val="en-US" w:eastAsia="zh-CN"/>
        </w:rPr>
        <w:t>1、</w:t>
      </w:r>
      <w:r>
        <w:rPr>
          <w:rFonts w:hint="default" w:ascii="Times New Roman" w:hAnsi="Times New Roman" w:eastAsia="楷体_GB2312" w:cs="Times New Roman"/>
          <w:b/>
          <w:bCs/>
          <w:color w:val="000000" w:themeColor="text1"/>
          <w:sz w:val="32"/>
          <w:szCs w:val="40"/>
          <w:lang w:val="en-US" w:eastAsia="zh-CN"/>
        </w:rPr>
        <w:t>经济效益。</w:t>
      </w:r>
      <w:r>
        <w:rPr>
          <w:rFonts w:hint="default" w:ascii="Times New Roman" w:hAnsi="Times New Roman" w:eastAsia="仿宋_GB2312" w:cs="Times New Roman"/>
          <w:color w:val="000000" w:themeColor="text1"/>
          <w:kern w:val="0"/>
          <w:sz w:val="32"/>
          <w:szCs w:val="24"/>
          <w:lang w:val="en-US" w:eastAsia="zh-CN" w:bidi="ar-SA"/>
        </w:rPr>
        <w:t>本项目实施</w:t>
      </w:r>
      <w:r>
        <w:rPr>
          <w:rFonts w:hint="eastAsia" w:ascii="Times New Roman" w:hAnsi="Times New Roman" w:eastAsia="仿宋_GB2312" w:cs="Times New Roman"/>
          <w:color w:val="000000" w:themeColor="text1"/>
          <w:kern w:val="0"/>
          <w:sz w:val="32"/>
          <w:szCs w:val="24"/>
          <w:lang w:val="en-US" w:eastAsia="zh-CN" w:bidi="ar-SA"/>
        </w:rPr>
        <w:t>完成</w:t>
      </w:r>
      <w:r>
        <w:rPr>
          <w:rFonts w:hint="default" w:ascii="Times New Roman" w:hAnsi="Times New Roman" w:eastAsia="仿宋_GB2312" w:cs="Times New Roman"/>
          <w:color w:val="000000" w:themeColor="text1"/>
          <w:kern w:val="0"/>
          <w:sz w:val="32"/>
          <w:szCs w:val="24"/>
          <w:lang w:val="en-US" w:eastAsia="zh-CN" w:bidi="ar-SA"/>
        </w:rPr>
        <w:t>后</w:t>
      </w:r>
      <w:r>
        <w:rPr>
          <w:rFonts w:hint="eastAsia" w:ascii="Times New Roman" w:hAnsi="Times New Roman" w:eastAsia="仿宋_GB2312" w:cs="Times New Roman"/>
          <w:color w:val="000000" w:themeColor="text1"/>
          <w:kern w:val="0"/>
          <w:sz w:val="32"/>
          <w:szCs w:val="24"/>
          <w:lang w:val="en-US" w:eastAsia="zh-CN" w:bidi="ar-SA"/>
        </w:rPr>
        <w:t>，新增农业产值</w:t>
      </w:r>
      <w:r>
        <w:rPr>
          <w:rFonts w:hint="eastAsia" w:eastAsia="仿宋_GB2312" w:cs="Times New Roman"/>
          <w:color w:val="000000" w:themeColor="text1"/>
          <w:kern w:val="0"/>
          <w:sz w:val="32"/>
          <w:szCs w:val="24"/>
          <w:lang w:val="en-US" w:eastAsia="zh-CN" w:bidi="ar-SA"/>
        </w:rPr>
        <w:t>1.1</w:t>
      </w:r>
      <w:r>
        <w:rPr>
          <w:rFonts w:hint="eastAsia" w:ascii="Times New Roman" w:hAnsi="Times New Roman" w:eastAsia="仿宋_GB2312" w:cs="Times New Roman"/>
          <w:color w:val="000000" w:themeColor="text1"/>
          <w:kern w:val="0"/>
          <w:sz w:val="32"/>
          <w:szCs w:val="24"/>
          <w:lang w:val="en-US" w:eastAsia="zh-CN" w:bidi="ar-SA"/>
        </w:rPr>
        <w:t>亿元，新增销售收入</w:t>
      </w:r>
      <w:r>
        <w:rPr>
          <w:rFonts w:hint="eastAsia" w:eastAsia="仿宋_GB2312" w:cs="Times New Roman"/>
          <w:color w:val="000000" w:themeColor="text1"/>
          <w:kern w:val="0"/>
          <w:sz w:val="32"/>
          <w:szCs w:val="24"/>
          <w:lang w:val="en-US" w:eastAsia="zh-CN" w:bidi="ar-SA"/>
        </w:rPr>
        <w:t>1.1</w:t>
      </w:r>
      <w:r>
        <w:rPr>
          <w:rFonts w:hint="eastAsia" w:ascii="Times New Roman" w:hAnsi="Times New Roman" w:eastAsia="仿宋_GB2312" w:cs="Times New Roman"/>
          <w:color w:val="000000" w:themeColor="text1"/>
          <w:kern w:val="0"/>
          <w:sz w:val="32"/>
          <w:szCs w:val="24"/>
          <w:lang w:val="en-US" w:eastAsia="zh-CN" w:bidi="ar-SA"/>
        </w:rPr>
        <w:t>亿元。育肥猪饲养成本降低约50-100元/头，每窝猪增收250-500元。</w:t>
      </w:r>
      <w:r>
        <w:rPr>
          <w:rFonts w:hint="default" w:ascii="Times New Roman" w:hAnsi="Times New Roman" w:eastAsia="仿宋_GB2312" w:cs="Times New Roman"/>
          <w:color w:val="000000" w:themeColor="text1"/>
          <w:kern w:val="0"/>
          <w:sz w:val="32"/>
          <w:szCs w:val="24"/>
          <w:lang w:val="en-US" w:eastAsia="zh-CN" w:bidi="ar-SA"/>
        </w:rPr>
        <w:t xml:space="preserve"> </w:t>
      </w:r>
    </w:p>
    <w:p>
      <w:pPr>
        <w:adjustRightInd w:val="0"/>
        <w:snapToGrid w:val="0"/>
        <w:spacing w:line="580" w:lineRule="exact"/>
        <w:ind w:firstLine="720"/>
        <w:rPr>
          <w:rFonts w:hint="eastAsia" w:ascii="Times New Roman" w:hAnsi="Times New Roman" w:eastAsia="仿宋_GB2312" w:cs="Times New Roman"/>
          <w:color w:val="000000" w:themeColor="text1"/>
          <w:kern w:val="0"/>
          <w:sz w:val="32"/>
          <w:szCs w:val="24"/>
          <w:lang w:val="en-US" w:eastAsia="zh-CN" w:bidi="ar-SA"/>
        </w:rPr>
      </w:pPr>
      <w:r>
        <w:rPr>
          <w:rFonts w:hint="eastAsia" w:ascii="Times New Roman" w:hAnsi="Times New Roman" w:eastAsia="楷体_GB2312" w:cs="Times New Roman"/>
          <w:b/>
          <w:bCs/>
          <w:color w:val="000000" w:themeColor="text1"/>
          <w:sz w:val="32"/>
          <w:szCs w:val="40"/>
          <w:lang w:val="en-US" w:eastAsia="zh-CN"/>
        </w:rPr>
        <w:t>2、</w:t>
      </w:r>
      <w:r>
        <w:rPr>
          <w:rFonts w:hint="default" w:ascii="Times New Roman" w:hAnsi="Times New Roman" w:eastAsia="楷体_GB2312" w:cs="Times New Roman"/>
          <w:b/>
          <w:bCs/>
          <w:color w:val="000000" w:themeColor="text1"/>
          <w:sz w:val="32"/>
          <w:szCs w:val="40"/>
          <w:lang w:val="en-US" w:eastAsia="zh-CN"/>
        </w:rPr>
        <w:t>社会效益。</w:t>
      </w:r>
      <w:r>
        <w:rPr>
          <w:rFonts w:hint="eastAsia" w:ascii="Times New Roman" w:hAnsi="Times New Roman" w:eastAsia="仿宋_GB2312" w:cs="Times New Roman"/>
          <w:b/>
          <w:bCs/>
          <w:color w:val="000000" w:themeColor="text1"/>
          <w:kern w:val="0"/>
          <w:sz w:val="32"/>
          <w:szCs w:val="24"/>
          <w:lang w:val="en-US" w:eastAsia="zh-CN" w:bidi="ar-SA"/>
        </w:rPr>
        <w:t>一是</w:t>
      </w:r>
      <w:r>
        <w:rPr>
          <w:rFonts w:hint="eastAsia" w:ascii="Times New Roman" w:hAnsi="Times New Roman" w:eastAsia="仿宋_GB2312" w:cs="Times New Roman"/>
          <w:color w:val="000000" w:themeColor="text1"/>
          <w:kern w:val="0"/>
          <w:sz w:val="32"/>
          <w:szCs w:val="24"/>
          <w:lang w:val="en-US" w:eastAsia="zh-CN" w:bidi="ar-SA"/>
        </w:rPr>
        <w:t>随着各项生产指标的提升，助力公司对外拓展家庭农场，预估可新增带动10-15户家庭农场，同时巩固原有家庭农场，累计带动超50户家庭农场。</w:t>
      </w:r>
      <w:r>
        <w:rPr>
          <w:rFonts w:hint="eastAsia" w:ascii="Times New Roman" w:hAnsi="Times New Roman" w:eastAsia="仿宋_GB2312" w:cs="Times New Roman"/>
          <w:b/>
          <w:bCs/>
          <w:color w:val="000000" w:themeColor="text1"/>
          <w:kern w:val="0"/>
          <w:sz w:val="32"/>
          <w:szCs w:val="24"/>
          <w:lang w:val="en-US" w:eastAsia="zh-CN" w:bidi="ar-SA"/>
        </w:rPr>
        <w:t>二是</w:t>
      </w:r>
      <w:r>
        <w:rPr>
          <w:rFonts w:hint="eastAsia" w:ascii="Times New Roman" w:hAnsi="Times New Roman" w:eastAsia="仿宋_GB2312" w:cs="Times New Roman"/>
          <w:color w:val="000000" w:themeColor="text1"/>
          <w:kern w:val="0"/>
          <w:sz w:val="32"/>
          <w:szCs w:val="24"/>
          <w:lang w:val="en-US" w:eastAsia="zh-CN" w:bidi="ar-SA"/>
        </w:rPr>
        <w:t>带动科技创新，推进生猪产业高质量发展。，通过头部企业对自身生产、疫病防控、营养调控、种源</w:t>
      </w:r>
      <w:r>
        <w:rPr>
          <w:rFonts w:hint="eastAsia" w:eastAsia="仿宋_GB2312" w:cs="Times New Roman"/>
          <w:color w:val="000000" w:themeColor="text1"/>
          <w:kern w:val="0"/>
          <w:sz w:val="32"/>
          <w:szCs w:val="24"/>
          <w:lang w:val="en-US" w:eastAsia="zh-CN" w:bidi="ar-SA"/>
        </w:rPr>
        <w:t>品质</w:t>
      </w:r>
      <w:r>
        <w:rPr>
          <w:rFonts w:hint="eastAsia" w:ascii="Times New Roman" w:hAnsi="Times New Roman" w:eastAsia="仿宋_GB2312" w:cs="Times New Roman"/>
          <w:color w:val="000000" w:themeColor="text1"/>
          <w:kern w:val="0"/>
          <w:sz w:val="32"/>
          <w:szCs w:val="24"/>
          <w:lang w:val="en-US" w:eastAsia="zh-CN" w:bidi="ar-SA"/>
        </w:rPr>
        <w:t>提升带动区域周边养殖跟随变革，最后提升整个区域的生猪养殖产业水平。</w:t>
      </w:r>
      <w:r>
        <w:rPr>
          <w:rFonts w:hint="eastAsia" w:ascii="Times New Roman" w:hAnsi="Times New Roman" w:eastAsia="仿宋_GB2312" w:cs="Times New Roman"/>
          <w:b/>
          <w:bCs/>
          <w:color w:val="000000" w:themeColor="text1"/>
          <w:kern w:val="0"/>
          <w:sz w:val="32"/>
          <w:szCs w:val="24"/>
          <w:lang w:val="en-US" w:eastAsia="zh-CN" w:bidi="ar-SA"/>
        </w:rPr>
        <w:t>三是</w:t>
      </w:r>
      <w:r>
        <w:rPr>
          <w:rFonts w:hint="eastAsia" w:ascii="Times New Roman" w:hAnsi="Times New Roman" w:eastAsia="仿宋_GB2312" w:cs="Times New Roman"/>
          <w:color w:val="000000" w:themeColor="text1"/>
          <w:kern w:val="0"/>
          <w:sz w:val="32"/>
          <w:szCs w:val="24"/>
          <w:lang w:val="en-US" w:eastAsia="zh-CN" w:bidi="ar-SA"/>
        </w:rPr>
        <w:t>有利于更好地保证肉类食品安全，保障消费者利益。</w:t>
      </w:r>
      <w:r>
        <w:rPr>
          <w:rFonts w:hint="eastAsia" w:ascii="Times New Roman" w:hAnsi="Times New Roman" w:eastAsia="仿宋_GB2312" w:cs="Times New Roman"/>
          <w:b/>
          <w:bCs/>
          <w:color w:val="000000" w:themeColor="text1"/>
          <w:kern w:val="0"/>
          <w:sz w:val="32"/>
          <w:szCs w:val="24"/>
          <w:lang w:val="en-US" w:eastAsia="zh-CN" w:bidi="ar-SA"/>
        </w:rPr>
        <w:t>四是</w:t>
      </w:r>
      <w:r>
        <w:rPr>
          <w:rFonts w:hint="eastAsia" w:ascii="Times New Roman" w:hAnsi="Times New Roman" w:eastAsia="仿宋_GB2312" w:cs="Times New Roman"/>
          <w:color w:val="000000" w:themeColor="text1"/>
          <w:kern w:val="0"/>
          <w:sz w:val="32"/>
          <w:szCs w:val="24"/>
          <w:lang w:val="en-US" w:eastAsia="zh-CN" w:bidi="ar-SA"/>
        </w:rPr>
        <w:t>有利于所在地区经济发展和社会稳定。项目实施完成后，直接增加100余个就业岗位，带动产业上下游超200人就业，缓解项目当地及周边就业压力。</w:t>
      </w:r>
    </w:p>
    <w:p>
      <w:pPr>
        <w:adjustRightInd w:val="0"/>
        <w:snapToGrid w:val="0"/>
        <w:spacing w:line="580" w:lineRule="exact"/>
        <w:ind w:firstLine="720"/>
        <w:rPr>
          <w:rFonts w:ascii="黑体" w:hAnsi="宋体" w:eastAsia="黑体"/>
        </w:rPr>
      </w:pPr>
      <w:r>
        <w:rPr>
          <w:rFonts w:hint="eastAsia" w:ascii="黑体" w:hAnsi="宋体" w:eastAsia="黑体"/>
        </w:rPr>
        <w:t>五、评价结论及建议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（一）评价结论。</w:t>
      </w:r>
    </w:p>
    <w:p>
      <w:pPr>
        <w:widowControl/>
        <w:spacing w:line="520" w:lineRule="exact"/>
        <w:ind w:firstLine="640" w:firstLineChars="200"/>
        <w:rPr>
          <w:rFonts w:ascii="仿宋_GB2312" w:hAnsi="仿宋_GB2312" w:cs="仿宋_GB2312"/>
        </w:rPr>
      </w:pPr>
      <w:r>
        <w:rPr>
          <w:rFonts w:hint="eastAsia" w:ascii="仿宋" w:hAnsi="仿宋" w:eastAsia="仿宋" w:cs="仿宋"/>
          <w:kern w:val="0"/>
          <w:lang w:val="zh-CN"/>
        </w:rPr>
        <w:t>因项目正在施工，评价暂无</w:t>
      </w:r>
    </w:p>
    <w:p>
      <w:pPr>
        <w:numPr>
          <w:ilvl w:val="0"/>
          <w:numId w:val="1"/>
        </w:numPr>
        <w:adjustRightInd w:val="0"/>
        <w:snapToGrid w:val="0"/>
        <w:spacing w:line="580" w:lineRule="exact"/>
        <w:ind w:firstLine="720"/>
        <w:rPr>
          <w:rFonts w:hint="eastAsia" w:ascii="楷体_GB2312" w:hAnsi="宋体" w:eastAsia="楷体_GB2312"/>
          <w:b/>
          <w:lang w:val="zh-CN"/>
        </w:rPr>
      </w:pPr>
      <w:r>
        <w:rPr>
          <w:rFonts w:hint="eastAsia" w:ascii="楷体_GB2312" w:hAnsi="宋体" w:eastAsia="楷体_GB2312"/>
          <w:b/>
          <w:lang w:val="zh-CN"/>
        </w:rPr>
        <w:t>存在的问题。</w:t>
      </w:r>
    </w:p>
    <w:p>
      <w:pPr>
        <w:pStyle w:val="2"/>
        <w:ind w:left="0" w:leftChars="0" w:firstLine="643" w:firstLineChars="200"/>
        <w:rPr>
          <w:rFonts w:hint="eastAsia"/>
          <w:lang w:val="zh-CN"/>
        </w:rPr>
      </w:pPr>
      <w:r>
        <w:rPr>
          <w:rFonts w:hint="eastAsia" w:ascii="楷体_GB2312" w:hAnsi="宋体" w:eastAsia="楷体_GB2312"/>
          <w:b/>
          <w:lang w:val="zh-CN"/>
        </w:rPr>
        <w:t>无</w:t>
      </w:r>
    </w:p>
    <w:p>
      <w:pPr>
        <w:pStyle w:val="2"/>
        <w:numPr>
          <w:ilvl w:val="0"/>
          <w:numId w:val="1"/>
        </w:numPr>
        <w:ind w:left="0" w:leftChars="0" w:firstLine="720" w:firstLineChars="0"/>
        <w:rPr>
          <w:rFonts w:hint="eastAsia" w:eastAsia="仿宋_GB2312"/>
          <w:lang w:val="en-US" w:eastAsia="zh-CN"/>
        </w:rPr>
      </w:pPr>
      <w:r>
        <w:rPr>
          <w:rFonts w:hint="eastAsia"/>
          <w:lang w:val="en-US" w:eastAsia="zh-CN"/>
        </w:rPr>
        <w:t>意见及建议</w:t>
      </w:r>
    </w:p>
    <w:p>
      <w:pPr>
        <w:adjustRightInd w:val="0"/>
        <w:snapToGrid w:val="0"/>
        <w:spacing w:line="580" w:lineRule="exact"/>
        <w:ind w:firstLine="720"/>
      </w:pPr>
      <w:r>
        <w:rPr>
          <w:rFonts w:hint="eastAsia"/>
          <w:lang w:val="en-US" w:eastAsia="zh-CN"/>
        </w:rPr>
        <w:t>无</w:t>
      </w:r>
    </w:p>
    <w:p>
      <w:pPr>
        <w:adjustRightInd w:val="0"/>
        <w:snapToGrid w:val="0"/>
        <w:spacing w:line="580" w:lineRule="exact"/>
      </w:pPr>
    </w:p>
    <w:p>
      <w:pPr>
        <w:adjustRightInd w:val="0"/>
        <w:snapToGrid w:val="0"/>
        <w:spacing w:line="580" w:lineRule="exact"/>
        <w:ind w:firstLine="720"/>
        <w:rPr>
          <w:rFonts w:ascii="楷体_GB2312" w:hAnsi="宋体" w:eastAsia="楷体_GB2312"/>
          <w:lang w:val="zh-CN"/>
        </w:rPr>
      </w:pPr>
    </w:p>
    <w:p>
      <w:pPr>
        <w:adjustRightInd w:val="0"/>
        <w:snapToGrid w:val="0"/>
        <w:spacing w:line="580" w:lineRule="exact"/>
        <w:ind w:firstLine="5280" w:firstLineChars="1650"/>
        <w:rPr>
          <w:rFonts w:ascii="仿宋_GB2312" w:hAnsi="宋体"/>
          <w:lang w:val="zh-CN"/>
        </w:rPr>
      </w:pPr>
      <w:r>
        <w:rPr>
          <w:rFonts w:ascii="仿宋_GB2312" w:hAnsi="宋体"/>
          <w:lang w:val="zh-CN"/>
        </w:rPr>
        <w:t>202</w:t>
      </w:r>
      <w:r>
        <w:rPr>
          <w:rFonts w:hint="eastAsia" w:ascii="仿宋_GB2312" w:hAnsi="宋体"/>
          <w:lang w:val="en-US" w:eastAsia="zh-CN"/>
        </w:rPr>
        <w:t>4</w:t>
      </w:r>
      <w:r>
        <w:rPr>
          <w:rFonts w:hint="eastAsia" w:ascii="仿宋_GB2312" w:hAnsi="宋体"/>
          <w:lang w:val="zh-CN"/>
        </w:rPr>
        <w:t>年</w:t>
      </w:r>
      <w:r>
        <w:rPr>
          <w:rFonts w:hint="eastAsia" w:ascii="仿宋_GB2312" w:hAnsi="宋体"/>
          <w:lang w:val="en-US" w:eastAsia="zh-CN"/>
        </w:rPr>
        <w:t>1</w:t>
      </w:r>
      <w:r>
        <w:rPr>
          <w:rFonts w:hint="eastAsia" w:ascii="仿宋_GB2312" w:hAnsi="宋体"/>
          <w:lang w:val="zh-CN"/>
        </w:rPr>
        <w:t>月</w:t>
      </w:r>
      <w:r>
        <w:rPr>
          <w:rFonts w:hint="eastAsia" w:ascii="仿宋_GB2312" w:hAnsi="宋体"/>
          <w:lang w:val="en-US" w:eastAsia="zh-CN"/>
        </w:rPr>
        <w:t>4</w:t>
      </w:r>
      <w:r>
        <w:rPr>
          <w:rFonts w:hint="eastAsia" w:ascii="仿宋_GB2312" w:hAnsi="宋体"/>
          <w:lang w:val="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3BF0FA5-0721-4075-9B70-58B71ECB615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3DA6440E-0EAA-4CDC-ADAB-188A313A93D4}"/>
  </w:font>
  <w:font w:name="仿宋_GB2312">
    <w:altName w:val="仿宋"/>
    <w:panose1 w:val="02010609030101010101"/>
    <w:charset w:val="86"/>
    <w:family w:val="modern"/>
    <w:pitch w:val="default"/>
    <w:sig w:usb0="00000000" w:usb1="00000000" w:usb2="00000000" w:usb3="00000000" w:csb0="00040000" w:csb1="00000000"/>
    <w:embedRegular r:id="rId3" w:fontKey="{8F64640A-122B-4E77-AC31-1A6CB48C519B}"/>
  </w:font>
  <w:font w:name="??">
    <w:altName w:val="Times New Roman"/>
    <w:panose1 w:val="00000000000000000000"/>
    <w:charset w:val="00"/>
    <w:family w:val="roman"/>
    <w:pitch w:val="default"/>
    <w:sig w:usb0="00000000" w:usb1="00000000" w:usb2="00000000" w:usb3="00000000" w:csb0="00000001" w:csb1="00000000"/>
  </w:font>
  <w:font w:name="方正小标宋简体">
    <w:panose1 w:val="02000000000000000000"/>
    <w:charset w:val="86"/>
    <w:family w:val="auto"/>
    <w:pitch w:val="default"/>
    <w:sig w:usb0="00000001" w:usb1="08000000" w:usb2="00000000" w:usb3="00000000" w:csb0="00040000" w:csb1="00000000"/>
    <w:embedRegular r:id="rId4" w:fontKey="{F7F1AD6D-8A5E-4F7C-890E-C9A37FCF7EF2}"/>
  </w:font>
  <w:font w:name="楷体_GB2312">
    <w:altName w:val="楷体"/>
    <w:panose1 w:val="00000000000000000000"/>
    <w:charset w:val="86"/>
    <w:family w:val="modern"/>
    <w:pitch w:val="default"/>
    <w:sig w:usb0="00000000" w:usb1="00000000" w:usb2="00000010" w:usb3="00000000" w:csb0="00040000" w:csb1="00000000"/>
    <w:embedRegular r:id="rId5" w:fontKey="{F7A1900D-51ED-4A9E-A26F-1BA41FF8C1EE}"/>
  </w:font>
  <w:font w:name="方正仿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6" w:fontKey="{EF6CF8FD-2DBC-4D30-84A1-4AB81088420E}"/>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C9497E"/>
    <w:multiLevelType w:val="singleLevel"/>
    <w:tmpl w:val="2CC9497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0029CF"/>
    <w:rsid w:val="000262B4"/>
    <w:rsid w:val="00031D0F"/>
    <w:rsid w:val="00041AA3"/>
    <w:rsid w:val="00047FF7"/>
    <w:rsid w:val="00061B75"/>
    <w:rsid w:val="00063908"/>
    <w:rsid w:val="000660A6"/>
    <w:rsid w:val="00072438"/>
    <w:rsid w:val="00092954"/>
    <w:rsid w:val="000B1CEB"/>
    <w:rsid w:val="000B5533"/>
    <w:rsid w:val="000D31EE"/>
    <w:rsid w:val="000E7606"/>
    <w:rsid w:val="000F569F"/>
    <w:rsid w:val="0011620E"/>
    <w:rsid w:val="00125DAF"/>
    <w:rsid w:val="0015157C"/>
    <w:rsid w:val="00173039"/>
    <w:rsid w:val="00174201"/>
    <w:rsid w:val="001D6D8D"/>
    <w:rsid w:val="001E34BB"/>
    <w:rsid w:val="001E401E"/>
    <w:rsid w:val="001E6113"/>
    <w:rsid w:val="001F47CE"/>
    <w:rsid w:val="00220900"/>
    <w:rsid w:val="00225BC1"/>
    <w:rsid w:val="002413AD"/>
    <w:rsid w:val="00245907"/>
    <w:rsid w:val="002600D7"/>
    <w:rsid w:val="00291918"/>
    <w:rsid w:val="002B5B34"/>
    <w:rsid w:val="002C62D2"/>
    <w:rsid w:val="002E7D7A"/>
    <w:rsid w:val="00317E03"/>
    <w:rsid w:val="00327E97"/>
    <w:rsid w:val="00367245"/>
    <w:rsid w:val="00374466"/>
    <w:rsid w:val="00376F5B"/>
    <w:rsid w:val="00382E88"/>
    <w:rsid w:val="003B4463"/>
    <w:rsid w:val="003B4AEC"/>
    <w:rsid w:val="003E5E79"/>
    <w:rsid w:val="003E786F"/>
    <w:rsid w:val="003F3D2B"/>
    <w:rsid w:val="003F771B"/>
    <w:rsid w:val="004113C0"/>
    <w:rsid w:val="00412A04"/>
    <w:rsid w:val="00413DC5"/>
    <w:rsid w:val="00425ED1"/>
    <w:rsid w:val="00437A5D"/>
    <w:rsid w:val="00447155"/>
    <w:rsid w:val="004B3B04"/>
    <w:rsid w:val="004E2171"/>
    <w:rsid w:val="004E6143"/>
    <w:rsid w:val="004F7284"/>
    <w:rsid w:val="00500571"/>
    <w:rsid w:val="0052755E"/>
    <w:rsid w:val="00540A52"/>
    <w:rsid w:val="00542303"/>
    <w:rsid w:val="00543D64"/>
    <w:rsid w:val="00572F4E"/>
    <w:rsid w:val="005A32E9"/>
    <w:rsid w:val="005C2063"/>
    <w:rsid w:val="005C5C28"/>
    <w:rsid w:val="005D4AF4"/>
    <w:rsid w:val="00610011"/>
    <w:rsid w:val="006108BC"/>
    <w:rsid w:val="00640DAC"/>
    <w:rsid w:val="00645B2A"/>
    <w:rsid w:val="00645C38"/>
    <w:rsid w:val="006B25C2"/>
    <w:rsid w:val="006B75BA"/>
    <w:rsid w:val="006E1BC5"/>
    <w:rsid w:val="006E3397"/>
    <w:rsid w:val="006E3A8B"/>
    <w:rsid w:val="006F6F46"/>
    <w:rsid w:val="00704D2F"/>
    <w:rsid w:val="00725818"/>
    <w:rsid w:val="00731156"/>
    <w:rsid w:val="007359BF"/>
    <w:rsid w:val="007533F5"/>
    <w:rsid w:val="00756EA2"/>
    <w:rsid w:val="00782BB3"/>
    <w:rsid w:val="007972FE"/>
    <w:rsid w:val="007A2D9C"/>
    <w:rsid w:val="007B2095"/>
    <w:rsid w:val="007C43B5"/>
    <w:rsid w:val="007D0D03"/>
    <w:rsid w:val="007E2A26"/>
    <w:rsid w:val="008202D5"/>
    <w:rsid w:val="00832280"/>
    <w:rsid w:val="00851C30"/>
    <w:rsid w:val="008522B7"/>
    <w:rsid w:val="00854163"/>
    <w:rsid w:val="008579F7"/>
    <w:rsid w:val="008854A0"/>
    <w:rsid w:val="00893DEA"/>
    <w:rsid w:val="008A0CFC"/>
    <w:rsid w:val="008A77D6"/>
    <w:rsid w:val="008D7836"/>
    <w:rsid w:val="008F5EE0"/>
    <w:rsid w:val="008F6FBC"/>
    <w:rsid w:val="008F788A"/>
    <w:rsid w:val="009036C0"/>
    <w:rsid w:val="0092670A"/>
    <w:rsid w:val="00942D9C"/>
    <w:rsid w:val="009663C1"/>
    <w:rsid w:val="0096654A"/>
    <w:rsid w:val="00975380"/>
    <w:rsid w:val="00991186"/>
    <w:rsid w:val="009952BA"/>
    <w:rsid w:val="009E1712"/>
    <w:rsid w:val="009F0029"/>
    <w:rsid w:val="00A102D1"/>
    <w:rsid w:val="00A13DF8"/>
    <w:rsid w:val="00A170EC"/>
    <w:rsid w:val="00A171F5"/>
    <w:rsid w:val="00A2504A"/>
    <w:rsid w:val="00A302F5"/>
    <w:rsid w:val="00A31CF1"/>
    <w:rsid w:val="00A411A9"/>
    <w:rsid w:val="00A413A6"/>
    <w:rsid w:val="00A61DA7"/>
    <w:rsid w:val="00A7284A"/>
    <w:rsid w:val="00A86881"/>
    <w:rsid w:val="00A86C0C"/>
    <w:rsid w:val="00A94C39"/>
    <w:rsid w:val="00AA1423"/>
    <w:rsid w:val="00AA5296"/>
    <w:rsid w:val="00AB0B28"/>
    <w:rsid w:val="00AF791D"/>
    <w:rsid w:val="00B10D87"/>
    <w:rsid w:val="00B124A7"/>
    <w:rsid w:val="00B14AA7"/>
    <w:rsid w:val="00B32804"/>
    <w:rsid w:val="00B54E96"/>
    <w:rsid w:val="00BB78EE"/>
    <w:rsid w:val="00C22C60"/>
    <w:rsid w:val="00C30B2E"/>
    <w:rsid w:val="00C34DAD"/>
    <w:rsid w:val="00C646A3"/>
    <w:rsid w:val="00C72689"/>
    <w:rsid w:val="00C871E2"/>
    <w:rsid w:val="00CC2055"/>
    <w:rsid w:val="00CC3075"/>
    <w:rsid w:val="00CD7A50"/>
    <w:rsid w:val="00CE6B0C"/>
    <w:rsid w:val="00D36F3A"/>
    <w:rsid w:val="00D80323"/>
    <w:rsid w:val="00D96492"/>
    <w:rsid w:val="00DA4995"/>
    <w:rsid w:val="00DB4C32"/>
    <w:rsid w:val="00E10A5A"/>
    <w:rsid w:val="00E10DC1"/>
    <w:rsid w:val="00E4357F"/>
    <w:rsid w:val="00E675BF"/>
    <w:rsid w:val="00E77998"/>
    <w:rsid w:val="00E96F60"/>
    <w:rsid w:val="00EB3B8A"/>
    <w:rsid w:val="00EB7047"/>
    <w:rsid w:val="00EC60AA"/>
    <w:rsid w:val="00ED3D8E"/>
    <w:rsid w:val="00ED7DCD"/>
    <w:rsid w:val="00EE3D64"/>
    <w:rsid w:val="00EF3BD2"/>
    <w:rsid w:val="00F251E9"/>
    <w:rsid w:val="00F27183"/>
    <w:rsid w:val="00F46A1C"/>
    <w:rsid w:val="00F8620E"/>
    <w:rsid w:val="00FC2A81"/>
    <w:rsid w:val="00FD3EFA"/>
    <w:rsid w:val="00FD62E7"/>
    <w:rsid w:val="00FE1324"/>
    <w:rsid w:val="00FE76A4"/>
    <w:rsid w:val="00FE7B9A"/>
    <w:rsid w:val="01A26771"/>
    <w:rsid w:val="02F51501"/>
    <w:rsid w:val="08427B65"/>
    <w:rsid w:val="0A9C1711"/>
    <w:rsid w:val="0BB23563"/>
    <w:rsid w:val="0CCD48BE"/>
    <w:rsid w:val="0F4B1644"/>
    <w:rsid w:val="157B135B"/>
    <w:rsid w:val="192F2B88"/>
    <w:rsid w:val="1A3908A8"/>
    <w:rsid w:val="1A490BFA"/>
    <w:rsid w:val="1B3F2E2B"/>
    <w:rsid w:val="1C560418"/>
    <w:rsid w:val="1F4B590F"/>
    <w:rsid w:val="22D250E4"/>
    <w:rsid w:val="23046E34"/>
    <w:rsid w:val="261D1FBA"/>
    <w:rsid w:val="261D36AF"/>
    <w:rsid w:val="28BA1D43"/>
    <w:rsid w:val="28CF57EE"/>
    <w:rsid w:val="299838E7"/>
    <w:rsid w:val="2A8C1B27"/>
    <w:rsid w:val="2B7D3C27"/>
    <w:rsid w:val="2C8977DB"/>
    <w:rsid w:val="2CC35400"/>
    <w:rsid w:val="2D007C0E"/>
    <w:rsid w:val="2F5E78CC"/>
    <w:rsid w:val="32E61066"/>
    <w:rsid w:val="342E3701"/>
    <w:rsid w:val="370724FE"/>
    <w:rsid w:val="397F651D"/>
    <w:rsid w:val="3A03182B"/>
    <w:rsid w:val="3BB82712"/>
    <w:rsid w:val="3D42172F"/>
    <w:rsid w:val="3D5642D8"/>
    <w:rsid w:val="3D6C7658"/>
    <w:rsid w:val="3DB34783"/>
    <w:rsid w:val="3F012A96"/>
    <w:rsid w:val="3F955013"/>
    <w:rsid w:val="42E47C90"/>
    <w:rsid w:val="43140575"/>
    <w:rsid w:val="44621918"/>
    <w:rsid w:val="457269B9"/>
    <w:rsid w:val="45E67A44"/>
    <w:rsid w:val="48482A6F"/>
    <w:rsid w:val="488706B1"/>
    <w:rsid w:val="48A203D1"/>
    <w:rsid w:val="4A1E617D"/>
    <w:rsid w:val="4AFA44F5"/>
    <w:rsid w:val="4CE20065"/>
    <w:rsid w:val="4DE16C38"/>
    <w:rsid w:val="4F7800DE"/>
    <w:rsid w:val="50025BF9"/>
    <w:rsid w:val="533B7E24"/>
    <w:rsid w:val="5344250C"/>
    <w:rsid w:val="55F67FAE"/>
    <w:rsid w:val="56975989"/>
    <w:rsid w:val="586F197A"/>
    <w:rsid w:val="58F016DE"/>
    <w:rsid w:val="5954396A"/>
    <w:rsid w:val="5AD21A31"/>
    <w:rsid w:val="5BB07212"/>
    <w:rsid w:val="5D46181B"/>
    <w:rsid w:val="5DF056F8"/>
    <w:rsid w:val="603D6C5D"/>
    <w:rsid w:val="606E795C"/>
    <w:rsid w:val="60C34F31"/>
    <w:rsid w:val="60CD7F37"/>
    <w:rsid w:val="61970898"/>
    <w:rsid w:val="62E71DC0"/>
    <w:rsid w:val="644B732E"/>
    <w:rsid w:val="66540B05"/>
    <w:rsid w:val="68E43F44"/>
    <w:rsid w:val="6B4E646B"/>
    <w:rsid w:val="71D945B4"/>
    <w:rsid w:val="71E5482D"/>
    <w:rsid w:val="75570B82"/>
    <w:rsid w:val="75B23F7E"/>
    <w:rsid w:val="76E56D55"/>
    <w:rsid w:val="7860333A"/>
    <w:rsid w:val="790463BB"/>
    <w:rsid w:val="79BC4EE7"/>
    <w:rsid w:val="7B102F1F"/>
    <w:rsid w:val="7C482A62"/>
    <w:rsid w:val="7D153C21"/>
    <w:rsid w:val="7F1748C2"/>
    <w:rsid w:val="7F56531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autoRedefine/>
    <w:qFormat/>
    <w:uiPriority w:val="0"/>
    <w:pPr>
      <w:ind w:firstLine="420" w:firstLineChars="200"/>
    </w:pPr>
  </w:style>
  <w:style w:type="paragraph" w:styleId="3">
    <w:name w:val="Body Text Indent"/>
    <w:basedOn w:val="1"/>
    <w:next w:val="1"/>
    <w:autoRedefine/>
    <w:qFormat/>
    <w:uiPriority w:val="0"/>
    <w:pPr>
      <w:spacing w:after="120" w:afterLines="0" w:afterAutospacing="0"/>
      <w:ind w:left="420" w:leftChars="200"/>
    </w:pPr>
  </w:style>
  <w:style w:type="paragraph" w:styleId="4">
    <w:name w:val="Body Text First Indent"/>
    <w:basedOn w:val="5"/>
    <w:autoRedefine/>
    <w:unhideWhenUsed/>
    <w:qFormat/>
    <w:uiPriority w:val="0"/>
    <w:pPr>
      <w:ind w:firstLine="420" w:firstLineChars="100"/>
    </w:pPr>
    <w:rPr>
      <w:sz w:val="21"/>
      <w:szCs w:val="22"/>
    </w:rPr>
  </w:style>
  <w:style w:type="paragraph" w:styleId="5">
    <w:name w:val="Body Text"/>
    <w:basedOn w:val="1"/>
    <w:next w:val="1"/>
    <w:autoRedefine/>
    <w:unhideWhenUsed/>
    <w:qFormat/>
    <w:uiPriority w:val="99"/>
    <w:pPr>
      <w:spacing w:after="120"/>
    </w:pPr>
  </w:style>
  <w:style w:type="paragraph" w:styleId="6">
    <w:name w:val="footer"/>
    <w:basedOn w:val="1"/>
    <w:link w:val="12"/>
    <w:autoRedefine/>
    <w:qFormat/>
    <w:uiPriority w:val="99"/>
    <w:pPr>
      <w:tabs>
        <w:tab w:val="center" w:pos="4153"/>
        <w:tab w:val="right" w:pos="8306"/>
      </w:tabs>
      <w:snapToGrid w:val="0"/>
      <w:jc w:val="left"/>
    </w:pPr>
    <w:rPr>
      <w:rFonts w:ascii="Calibri" w:hAnsi="Calibri" w:eastAsia="宋体"/>
      <w:sz w:val="18"/>
      <w:szCs w:val="18"/>
    </w:rPr>
  </w:style>
  <w:style w:type="paragraph" w:styleId="7">
    <w:name w:val="header"/>
    <w:basedOn w:val="1"/>
    <w:link w:val="11"/>
    <w:autoRedefine/>
    <w:qFormat/>
    <w:uiPriority w:val="99"/>
    <w:pPr>
      <w:pBdr>
        <w:bottom w:val="single" w:color="auto" w:sz="6" w:space="1"/>
      </w:pBdr>
      <w:tabs>
        <w:tab w:val="center" w:pos="4153"/>
        <w:tab w:val="right" w:pos="8306"/>
      </w:tabs>
      <w:snapToGrid w:val="0"/>
      <w:jc w:val="center"/>
    </w:pPr>
    <w:rPr>
      <w:rFonts w:ascii="Calibri" w:hAnsi="Calibri" w:eastAsia="宋体"/>
      <w:sz w:val="18"/>
      <w:szCs w:val="18"/>
    </w:rPr>
  </w:style>
  <w:style w:type="character" w:styleId="10">
    <w:name w:val="Strong"/>
    <w:basedOn w:val="9"/>
    <w:autoRedefine/>
    <w:qFormat/>
    <w:locked/>
    <w:uiPriority w:val="0"/>
    <w:rPr>
      <w:b/>
      <w:bCs/>
    </w:rPr>
  </w:style>
  <w:style w:type="character" w:customStyle="1" w:styleId="11">
    <w:name w:val="页眉 Char"/>
    <w:basedOn w:val="9"/>
    <w:link w:val="7"/>
    <w:autoRedefine/>
    <w:qFormat/>
    <w:locked/>
    <w:uiPriority w:val="99"/>
    <w:rPr>
      <w:rFonts w:cs="Times New Roman"/>
      <w:sz w:val="18"/>
      <w:szCs w:val="18"/>
    </w:rPr>
  </w:style>
  <w:style w:type="character" w:customStyle="1" w:styleId="12">
    <w:name w:val="页脚 Char"/>
    <w:basedOn w:val="9"/>
    <w:link w:val="6"/>
    <w:autoRedefine/>
    <w:qFormat/>
    <w:locked/>
    <w:uiPriority w:val="99"/>
    <w:rPr>
      <w:rFonts w:cs="Times New Roman"/>
      <w:sz w:val="18"/>
      <w:szCs w:val="18"/>
    </w:rPr>
  </w:style>
  <w:style w:type="paragraph" w:customStyle="1" w:styleId="13">
    <w:name w:val="四号正文"/>
    <w:basedOn w:val="1"/>
    <w:link w:val="14"/>
    <w:autoRedefine/>
    <w:qFormat/>
    <w:uiPriority w:val="99"/>
    <w:pPr>
      <w:spacing w:line="360" w:lineRule="auto"/>
    </w:pPr>
    <w:rPr>
      <w:rFonts w:ascii="??" w:hAnsi="??" w:eastAsia="宋体"/>
      <w:color w:val="000000"/>
      <w:kern w:val="0"/>
      <w:sz w:val="21"/>
      <w:szCs w:val="20"/>
    </w:rPr>
  </w:style>
  <w:style w:type="character" w:customStyle="1" w:styleId="14">
    <w:name w:val="四号正文 Char"/>
    <w:link w:val="13"/>
    <w:autoRedefine/>
    <w:qFormat/>
    <w:locked/>
    <w:uiPriority w:val="99"/>
    <w:rPr>
      <w:rFonts w:ascii="??" w:hAnsi="??" w:eastAsia="宋体"/>
      <w:color w:val="000000"/>
      <w:kern w:val="0"/>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2701</Words>
  <Characters>2892</Characters>
  <Lines>41</Lines>
  <Paragraphs>11</Paragraphs>
  <TotalTime>0</TotalTime>
  <ScaleCrop>false</ScaleCrop>
  <LinksUpToDate>false</LinksUpToDate>
  <CharactersWithSpaces>2899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2023-05-25T03:17:00Z</dcterms:created>
  <dc:creator>opi</dc:creator>
  <cp:lastModifiedBy>幻</cp:lastModifiedBy>
  <dcterms:modified xsi:type="dcterms:W3CDTF">2024-01-11T07:37:14Z</dcterms:modified>
  <dc:title>附件6</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23F8A69CA7D64A5E92C80756AA04068B_13</vt:lpwstr>
  </property>
</Properties>
</file>