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bookmarkStart w:id="1" w:name="_GoBack"/>
      <w:bookmarkEnd w:id="1"/>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lang w:eastAsia="zh-CN"/>
        </w:rPr>
      </w:pPr>
      <w:r>
        <w:rPr>
          <w:rFonts w:hint="eastAsia" w:ascii="仿宋_GB2312" w:hAnsi="宋体" w:eastAsia="仿宋_GB2312" w:cs="Times New Roman"/>
        </w:rPr>
        <w:t>2023年高标准农田建设项目资金</w:t>
      </w: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adjustRightInd w:val="0"/>
        <w:snapToGrid w:val="0"/>
        <w:spacing w:line="580" w:lineRule="exact"/>
        <w:ind w:firstLine="720"/>
        <w:rPr>
          <w:rFonts w:hint="eastAsia" w:ascii="仿宋_GB2312" w:hAnsi="宋体" w:eastAsia="仿宋_GB2312" w:cs="Times New Roman"/>
          <w:sz w:val="28"/>
          <w:lang w:val="zh-CN" w:eastAsia="zh-CN"/>
        </w:rPr>
      </w:pPr>
      <w:r>
        <w:rPr>
          <w:rFonts w:hint="eastAsia" w:ascii="仿宋_GB2312" w:hAnsi="宋体" w:eastAsia="仿宋_GB2312" w:cs="Times New Roman"/>
          <w:sz w:val="28"/>
          <w:lang w:val="zh-CN"/>
        </w:rPr>
        <w:t>按照高标准农田建设指导思想、相关政策和项目区选择原则，根据《四川省农业农村厅关于守牢建好“天府良田”扎实做好 2023 年高标准农田建设工作的通知》（川农发[2023]10号）、《四川省农业农村厅关于印发四川省实施高标准农田改造提升工程十条措施的通知》（川农发[2023]1号）、《高标准农田建设通则》（GB/T30600-2022）、《绵竹市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sz w:val="28"/>
          <w:lang w:val="zh-CN" w:eastAsia="zh-CN"/>
        </w:rPr>
        <w:t>，绵竹市</w:t>
      </w:r>
      <w:r>
        <w:rPr>
          <w:rFonts w:hint="eastAsia" w:ascii="仿宋_GB2312" w:hAnsi="宋体" w:eastAsia="仿宋_GB2312" w:cs="Times New Roman"/>
          <w:sz w:val="28"/>
          <w:lang w:val="en-US" w:eastAsia="zh-CN"/>
        </w:rPr>
        <w:t>2023年改造提升</w:t>
      </w:r>
      <w:r>
        <w:rPr>
          <w:rFonts w:hint="default" w:ascii="仿宋_GB2312" w:hAnsi="宋体" w:eastAsia="仿宋_GB2312" w:cs="Times New Roman"/>
          <w:sz w:val="28"/>
          <w:lang w:val="zh-CN"/>
        </w:rPr>
        <w:t>高标准农田</w:t>
      </w:r>
      <w:r>
        <w:rPr>
          <w:rFonts w:hint="eastAsia" w:ascii="仿宋_GB2312" w:hAnsi="宋体" w:eastAsia="仿宋_GB2312" w:cs="Times New Roman"/>
          <w:sz w:val="28"/>
          <w:lang w:val="en-US" w:eastAsia="zh-CN"/>
        </w:rPr>
        <w:t>面积1.65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绵竹市2023年高标准农田改造提升项目涉及富新镇吉兆村、孝德镇毫照村，耕地总面积1.85万亩。建设规模1.65万亩（高效节水0.1万亩），其中：富新镇吉兆村9000亩；孝德镇毫照村7500亩。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一是市农业</w:t>
      </w:r>
      <w:r>
        <w:rPr>
          <w:rFonts w:hint="eastAsia" w:ascii="仿宋_GB2312" w:hAnsi="宋体" w:eastAsia="仿宋_GB2312" w:cs="Times New Roman"/>
          <w:sz w:val="28"/>
          <w:lang w:val="zh-CN" w:eastAsia="zh-CN"/>
        </w:rPr>
        <w:t>技术推广中心</w:t>
      </w:r>
      <w:r>
        <w:rPr>
          <w:rFonts w:hint="eastAsia" w:ascii="仿宋_GB2312" w:hAnsi="宋体" w:eastAsia="仿宋_GB2312" w:cs="Times New Roman"/>
          <w:sz w:val="28"/>
          <w:lang w:val="zh-CN"/>
        </w:rPr>
        <w:t>印发了《绵竹市农田建设项目工程质量监督体系》，在实际工作中，严格按照要求予以落实。</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二</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由绵竹市人民政府农田水利基本建设指挥部办公室组织市农业农村局、市发展和改革局、市财政局、市水利局、市自然资源和规划局、项目镇及参建单位相关人员对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进行县级验收。</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三</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由德阳市农业农村局、市发改委、市财政局、市自然资源和规划局、市水利局组织的市级竣工验收组对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（一）项目资金申报及批复情况。</w:t>
      </w:r>
    </w:p>
    <w:p>
      <w:pPr>
        <w:adjustRightInd w:val="0"/>
        <w:snapToGrid w:val="0"/>
        <w:spacing w:line="580" w:lineRule="exact"/>
        <w:ind w:firstLine="720"/>
        <w:rPr>
          <w:rFonts w:hint="default" w:ascii="仿宋_GB2312" w:hAnsi="宋体" w:eastAsia="仿宋_GB2312" w:cs="Times New Roman"/>
          <w:sz w:val="28"/>
          <w:lang w:val="en-US" w:eastAsia="zh-CN"/>
        </w:rPr>
      </w:pP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w:t>
      </w:r>
      <w:r>
        <w:rPr>
          <w:rFonts w:hint="eastAsia" w:ascii="仿宋_GB2312" w:hAnsi="宋体" w:eastAsia="仿宋_GB2312" w:cs="Times New Roman"/>
          <w:sz w:val="28"/>
          <w:lang w:val="zh-CN" w:eastAsia="zh-CN"/>
        </w:rPr>
        <w:t>项目资金申报</w:t>
      </w:r>
      <w:r>
        <w:rPr>
          <w:rFonts w:hint="eastAsia" w:ascii="仿宋_GB2312" w:hAnsi="宋体" w:eastAsia="仿宋_GB2312" w:cs="Times New Roman"/>
          <w:sz w:val="28"/>
          <w:lang w:val="en-US" w:eastAsia="zh-CN"/>
        </w:rPr>
        <w:t>5940万元。</w:t>
      </w:r>
      <w:r>
        <w:rPr>
          <w:rFonts w:hint="default" w:ascii="仿宋_GB2312" w:hAnsi="宋体" w:eastAsia="仿宋_GB2312" w:cs="Times New Roman"/>
          <w:sz w:val="28"/>
          <w:lang w:val="zh-CN"/>
        </w:rPr>
        <w:t>根据高标准农田建设要求</w:t>
      </w:r>
      <w:r>
        <w:rPr>
          <w:rFonts w:hint="eastAsia" w:ascii="仿宋_GB2312" w:hAnsi="宋体" w:eastAsia="仿宋_GB2312" w:cs="Times New Roman"/>
          <w:sz w:val="28"/>
          <w:lang w:val="zh-CN" w:eastAsia="zh-CN"/>
        </w:rPr>
        <w:t>，</w:t>
      </w:r>
      <w:r>
        <w:rPr>
          <w:rFonts w:hint="eastAsia" w:ascii="仿宋_GB2312" w:hAnsi="宋体" w:eastAsia="仿宋_GB2312" w:cs="Times New Roman"/>
          <w:sz w:val="28"/>
          <w:lang w:val="en-US" w:eastAsia="zh-CN"/>
        </w:rPr>
        <w:t>2023年7月12日，</w:t>
      </w:r>
      <w:r>
        <w:rPr>
          <w:rFonts w:hint="eastAsia" w:ascii="仿宋_GB2312" w:hAnsi="宋体" w:eastAsia="仿宋_GB2312" w:cs="Times New Roman"/>
          <w:sz w:val="28"/>
          <w:lang w:val="zh-CN"/>
        </w:rPr>
        <w:t>德阳市农业农村局批复了</w:t>
      </w:r>
      <w:r>
        <w:rPr>
          <w:rFonts w:hint="eastAsia" w:ascii="仿宋_GB2312" w:hAnsi="宋体" w:eastAsia="仿宋_GB2312" w:cs="Times New Roman"/>
          <w:sz w:val="28"/>
          <w:lang w:val="zh-CN" w:eastAsia="zh-CN"/>
        </w:rPr>
        <w:t>关于《四川省德阳市绵竹市2023年高标准农田改造提升项目实施方案》德农农建〔2023〕8号。</w:t>
      </w:r>
      <w:r>
        <w:rPr>
          <w:rFonts w:hint="eastAsia" w:ascii="仿宋_GB2312" w:hAnsi="宋体" w:eastAsia="仿宋_GB2312" w:cs="Times New Roman"/>
          <w:sz w:val="28"/>
          <w:lang w:val="en-US" w:eastAsia="zh-CN"/>
        </w:rPr>
        <w:t>改造提升1.65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，项目总投资</w:t>
      </w:r>
      <w:r>
        <w:rPr>
          <w:rFonts w:hint="eastAsia" w:ascii="仿宋_GB2312" w:hAnsi="宋体" w:eastAsia="仿宋_GB2312" w:cs="Times New Roman"/>
          <w:sz w:val="28"/>
          <w:lang w:val="en-US" w:eastAsia="zh-CN"/>
        </w:rPr>
        <w:t>5940万元。</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en-US" w:eastAsia="zh-CN"/>
        </w:rPr>
        <w:t>项目总投资5940万，其中：中央资金1081万元，省级农田资金711万元，市级资金99万元、县级财政配套资金（债券资金）4049万元。县级财政配套资金中有2000万元由绵竹市财政专项债券资金配套。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绵竹市2023年高标准农田改造提升项目资金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298"/>
        <w:gridCol w:w="1350"/>
        <w:gridCol w:w="1250"/>
        <w:gridCol w:w="1213"/>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tcPr>
          <w:p>
            <w:pPr>
              <w:rPr>
                <w:sz w:val="24"/>
                <w:szCs w:val="24"/>
              </w:rPr>
            </w:pPr>
            <w:r>
              <w:rPr>
                <w:rFonts w:hint="eastAsia"/>
                <w:sz w:val="24"/>
                <w:szCs w:val="24"/>
              </w:rPr>
              <w:t>项目名称</w:t>
            </w:r>
          </w:p>
        </w:tc>
        <w:tc>
          <w:tcPr>
            <w:tcW w:w="1298" w:type="dxa"/>
            <w:vMerge w:val="restart"/>
          </w:tcPr>
          <w:p>
            <w:pPr>
              <w:rPr>
                <w:sz w:val="24"/>
                <w:szCs w:val="24"/>
              </w:rPr>
            </w:pPr>
            <w:r>
              <w:rPr>
                <w:rFonts w:hint="eastAsia"/>
                <w:sz w:val="24"/>
                <w:szCs w:val="24"/>
              </w:rPr>
              <w:t>中央资金</w:t>
            </w:r>
          </w:p>
        </w:tc>
        <w:tc>
          <w:tcPr>
            <w:tcW w:w="1350" w:type="dxa"/>
            <w:vMerge w:val="restart"/>
          </w:tcPr>
          <w:p>
            <w:pPr>
              <w:rPr>
                <w:sz w:val="24"/>
                <w:szCs w:val="24"/>
              </w:rPr>
            </w:pPr>
            <w:r>
              <w:rPr>
                <w:rFonts w:hint="eastAsia"/>
                <w:sz w:val="24"/>
                <w:szCs w:val="24"/>
              </w:rPr>
              <w:t>省级资金</w:t>
            </w:r>
          </w:p>
        </w:tc>
        <w:tc>
          <w:tcPr>
            <w:tcW w:w="1250" w:type="dxa"/>
            <w:vMerge w:val="restart"/>
          </w:tcPr>
          <w:p>
            <w:pPr>
              <w:rPr>
                <w:sz w:val="24"/>
                <w:szCs w:val="24"/>
              </w:rPr>
            </w:pPr>
            <w:r>
              <w:rPr>
                <w:rFonts w:hint="eastAsia"/>
                <w:sz w:val="24"/>
                <w:szCs w:val="24"/>
              </w:rPr>
              <w:t>市级资金</w:t>
            </w:r>
          </w:p>
        </w:tc>
        <w:tc>
          <w:tcPr>
            <w:tcW w:w="230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988" w:type="dxa"/>
            <w:vMerge w:val="continue"/>
          </w:tcPr>
          <w:p>
            <w:pPr>
              <w:rPr>
                <w:sz w:val="24"/>
                <w:szCs w:val="24"/>
              </w:rPr>
            </w:pPr>
          </w:p>
        </w:tc>
        <w:tc>
          <w:tcPr>
            <w:tcW w:w="1298" w:type="dxa"/>
            <w:vMerge w:val="continue"/>
          </w:tcPr>
          <w:p>
            <w:pPr>
              <w:rPr>
                <w:sz w:val="24"/>
                <w:szCs w:val="24"/>
              </w:rPr>
            </w:pPr>
          </w:p>
        </w:tc>
        <w:tc>
          <w:tcPr>
            <w:tcW w:w="1350" w:type="dxa"/>
            <w:vMerge w:val="continue"/>
          </w:tcPr>
          <w:p>
            <w:pPr>
              <w:rPr>
                <w:sz w:val="24"/>
                <w:szCs w:val="24"/>
              </w:rPr>
            </w:pPr>
          </w:p>
        </w:tc>
        <w:tc>
          <w:tcPr>
            <w:tcW w:w="1250" w:type="dxa"/>
            <w:vMerge w:val="continue"/>
          </w:tcPr>
          <w:p>
            <w:pPr>
              <w:rPr>
                <w:sz w:val="24"/>
                <w:szCs w:val="24"/>
              </w:rPr>
            </w:pPr>
          </w:p>
        </w:tc>
        <w:tc>
          <w:tcPr>
            <w:tcW w:w="1213" w:type="dxa"/>
          </w:tcPr>
          <w:p>
            <w:pPr>
              <w:rPr>
                <w:sz w:val="24"/>
                <w:szCs w:val="24"/>
              </w:rPr>
            </w:pPr>
            <w:r>
              <w:rPr>
                <w:rFonts w:hint="eastAsia"/>
                <w:sz w:val="24"/>
                <w:szCs w:val="24"/>
              </w:rPr>
              <w:t>财政资金</w:t>
            </w:r>
          </w:p>
        </w:tc>
        <w:tc>
          <w:tcPr>
            <w:tcW w:w="1087"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绵竹市2023年高标准农田改造提升项目</w:t>
            </w:r>
          </w:p>
        </w:tc>
        <w:tc>
          <w:tcPr>
            <w:tcW w:w="1298" w:type="dxa"/>
          </w:tcPr>
          <w:p>
            <w:pPr>
              <w:jc w:val="center"/>
              <w:rPr>
                <w:rFonts w:hint="default" w:eastAsia="宋体"/>
                <w:sz w:val="24"/>
                <w:szCs w:val="24"/>
                <w:lang w:val="en-US" w:eastAsia="zh-CN"/>
              </w:rPr>
            </w:pPr>
            <w:r>
              <w:rPr>
                <w:rFonts w:hint="eastAsia"/>
                <w:sz w:val="24"/>
                <w:szCs w:val="24"/>
                <w:lang w:val="en-US" w:eastAsia="zh-CN"/>
              </w:rPr>
              <w:t>1081</w:t>
            </w:r>
          </w:p>
        </w:tc>
        <w:tc>
          <w:tcPr>
            <w:tcW w:w="1350" w:type="dxa"/>
          </w:tcPr>
          <w:p>
            <w:pPr>
              <w:jc w:val="center"/>
              <w:rPr>
                <w:rFonts w:hint="default" w:eastAsia="宋体"/>
                <w:sz w:val="24"/>
                <w:szCs w:val="24"/>
                <w:lang w:val="en-US" w:eastAsia="zh-CN"/>
              </w:rPr>
            </w:pPr>
            <w:r>
              <w:rPr>
                <w:rFonts w:hint="eastAsia"/>
                <w:sz w:val="24"/>
                <w:szCs w:val="24"/>
                <w:lang w:val="en-US" w:eastAsia="zh-CN"/>
              </w:rPr>
              <w:t>711</w:t>
            </w:r>
          </w:p>
        </w:tc>
        <w:tc>
          <w:tcPr>
            <w:tcW w:w="1250" w:type="dxa"/>
          </w:tcPr>
          <w:p>
            <w:pPr>
              <w:jc w:val="center"/>
              <w:rPr>
                <w:rFonts w:hint="default"/>
                <w:sz w:val="24"/>
                <w:szCs w:val="24"/>
                <w:lang w:val="en-US" w:eastAsia="zh-CN"/>
              </w:rPr>
            </w:pPr>
            <w:r>
              <w:rPr>
                <w:rFonts w:hint="eastAsia"/>
                <w:sz w:val="24"/>
                <w:szCs w:val="24"/>
                <w:lang w:val="en-US" w:eastAsia="zh-CN"/>
              </w:rPr>
              <w:t>99</w:t>
            </w:r>
          </w:p>
        </w:tc>
        <w:tc>
          <w:tcPr>
            <w:tcW w:w="1213" w:type="dxa"/>
          </w:tcPr>
          <w:p>
            <w:pPr>
              <w:jc w:val="center"/>
              <w:rPr>
                <w:rFonts w:hint="default" w:eastAsia="宋体"/>
                <w:sz w:val="24"/>
                <w:szCs w:val="24"/>
                <w:lang w:val="en-US" w:eastAsia="zh-CN"/>
              </w:rPr>
            </w:pPr>
            <w:r>
              <w:rPr>
                <w:rFonts w:hint="eastAsia"/>
                <w:sz w:val="24"/>
                <w:szCs w:val="24"/>
                <w:lang w:val="en-US" w:eastAsia="zh-CN"/>
              </w:rPr>
              <w:t>2049</w:t>
            </w:r>
          </w:p>
        </w:tc>
        <w:tc>
          <w:tcPr>
            <w:tcW w:w="1087" w:type="dxa"/>
          </w:tcPr>
          <w:p>
            <w:pPr>
              <w:jc w:val="center"/>
              <w:rPr>
                <w:rFonts w:hint="default" w:eastAsia="宋体"/>
                <w:sz w:val="24"/>
                <w:szCs w:val="24"/>
                <w:lang w:val="en-US" w:eastAsia="zh-CN"/>
              </w:rPr>
            </w:pPr>
            <w:r>
              <w:rPr>
                <w:rFonts w:hint="eastAsia"/>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298" w:type="dxa"/>
            <w:vAlign w:val="top"/>
          </w:tcPr>
          <w:p>
            <w:pPr>
              <w:jc w:val="center"/>
              <w:rPr>
                <w:rFonts w:hint="default"/>
                <w:sz w:val="24"/>
                <w:szCs w:val="24"/>
                <w:lang w:val="en-US"/>
              </w:rPr>
            </w:pPr>
            <w:r>
              <w:rPr>
                <w:rFonts w:hint="eastAsia"/>
                <w:sz w:val="24"/>
                <w:szCs w:val="24"/>
                <w:lang w:val="en-US" w:eastAsia="zh-CN"/>
              </w:rPr>
              <w:t>1081</w:t>
            </w:r>
          </w:p>
        </w:tc>
        <w:tc>
          <w:tcPr>
            <w:tcW w:w="1350" w:type="dxa"/>
            <w:vAlign w:val="top"/>
          </w:tcPr>
          <w:p>
            <w:pPr>
              <w:jc w:val="center"/>
              <w:rPr>
                <w:rFonts w:hint="default"/>
                <w:sz w:val="24"/>
                <w:szCs w:val="24"/>
                <w:lang w:val="en-US"/>
              </w:rPr>
            </w:pPr>
            <w:r>
              <w:rPr>
                <w:rFonts w:hint="eastAsia"/>
                <w:sz w:val="24"/>
                <w:szCs w:val="24"/>
                <w:lang w:val="en-US" w:eastAsia="zh-CN"/>
              </w:rPr>
              <w:t>711</w:t>
            </w:r>
          </w:p>
        </w:tc>
        <w:tc>
          <w:tcPr>
            <w:tcW w:w="1250" w:type="dxa"/>
            <w:vAlign w:val="top"/>
          </w:tcPr>
          <w:p>
            <w:pPr>
              <w:jc w:val="center"/>
              <w:rPr>
                <w:rFonts w:hint="default"/>
                <w:sz w:val="24"/>
                <w:szCs w:val="24"/>
                <w:lang w:val="en-US" w:eastAsia="zh-CN"/>
              </w:rPr>
            </w:pPr>
            <w:r>
              <w:rPr>
                <w:rFonts w:hint="eastAsia"/>
                <w:sz w:val="24"/>
                <w:szCs w:val="24"/>
                <w:lang w:val="en-US" w:eastAsia="zh-CN"/>
              </w:rPr>
              <w:t>99</w:t>
            </w:r>
          </w:p>
        </w:tc>
        <w:tc>
          <w:tcPr>
            <w:tcW w:w="1213" w:type="dxa"/>
            <w:vAlign w:val="top"/>
          </w:tcPr>
          <w:p>
            <w:pPr>
              <w:jc w:val="center"/>
              <w:rPr>
                <w:rFonts w:hint="default"/>
                <w:sz w:val="24"/>
                <w:szCs w:val="24"/>
                <w:lang w:val="en-US" w:eastAsia="zh-CN"/>
              </w:rPr>
            </w:pPr>
            <w:r>
              <w:rPr>
                <w:rFonts w:hint="eastAsia"/>
                <w:sz w:val="24"/>
                <w:szCs w:val="24"/>
                <w:lang w:val="en-US" w:eastAsia="zh-CN"/>
              </w:rPr>
              <w:t>2049</w:t>
            </w:r>
          </w:p>
        </w:tc>
        <w:tc>
          <w:tcPr>
            <w:tcW w:w="1087" w:type="dxa"/>
            <w:vAlign w:val="top"/>
          </w:tcPr>
          <w:p>
            <w:pPr>
              <w:jc w:val="center"/>
              <w:rPr>
                <w:rFonts w:hint="default"/>
                <w:sz w:val="24"/>
                <w:szCs w:val="24"/>
                <w:lang w:val="en-US"/>
              </w:rPr>
            </w:pPr>
            <w:r>
              <w:rPr>
                <w:rFonts w:hint="eastAsia"/>
                <w:sz w:val="24"/>
                <w:szCs w:val="24"/>
                <w:lang w:val="en-US" w:eastAsia="zh-CN"/>
              </w:rPr>
              <w:t>2000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资金已到位5940万元，其中：中央资金1081万元，省级农田资金711万元，市级资金99万元，县级财政配套资金4049万元。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明确资金使用范围，截至2023年12月底使用资金4264万元。其中：2023年高标准农田建设项目资金1687.7万元。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严格按照川财农〔2023〕49号-2、川财农〔2023〕104号、竹财债金〔2023〕25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楷体_GB2312" w:hAnsi="宋体" w:eastAsia="楷体_GB2312" w:cs="Times New Roman"/>
          <w:b/>
          <w:sz w:val="28"/>
          <w:lang w:val="en-US" w:eastAsia="zh-CN"/>
        </w:rPr>
      </w:pPr>
      <w:r>
        <w:rPr>
          <w:rFonts w:hint="eastAsia" w:ascii="楷体_GB2312" w:hAnsi="宋体" w:eastAsia="楷体_GB2312" w:cs="Times New Roman"/>
          <w:b/>
          <w:sz w:val="28"/>
          <w:lang w:val="zh-CN" w:eastAsia="zh-CN"/>
        </w:rPr>
        <w:t>（三）项目财务管理情况。</w:t>
      </w:r>
    </w:p>
    <w:p>
      <w:pPr>
        <w:pStyle w:val="8"/>
        <w:ind w:left="0" w:leftChars="0" w:firstLine="608" w:firstLineChars="200"/>
        <w:rPr>
          <w:rFonts w:hint="default" w:ascii="仿宋_GB2312" w:hAnsi="宋体" w:eastAsia="仿宋_GB2312" w:cs="Times New Roman"/>
          <w:kern w:val="2"/>
          <w:sz w:val="32"/>
          <w:szCs w:val="32"/>
          <w:lang w:val="en-US" w:eastAsia="zh-CN" w:bidi="ar-SA"/>
        </w:rPr>
      </w:pPr>
      <w:r>
        <w:rPr>
          <w:rFonts w:hint="eastAsia" w:ascii="仿宋_GB2312" w:hAnsi="仿宋_GB2312" w:eastAsia="仿宋_GB2312" w:cs="仿宋_GB2312"/>
          <w:spacing w:val="2"/>
          <w:kern w:val="32"/>
          <w:sz w:val="30"/>
          <w:szCs w:val="30"/>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en-US" w:eastAsia="zh-CN"/>
        </w:rPr>
        <w:t>（一）</w:t>
      </w:r>
      <w:r>
        <w:rPr>
          <w:rFonts w:hint="eastAsia" w:ascii="楷体_GB2312" w:hAnsi="宋体" w:eastAsia="楷体_GB2312" w:cs="Times New Roman"/>
          <w:b/>
          <w:sz w:val="28"/>
          <w:lang w:val="zh-CN" w:eastAsia="zh-CN"/>
        </w:rPr>
        <w:t>项目组织架构及实施流程。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bookmarkStart w:id="0" w:name="_Toc389441110"/>
      <w:r>
        <w:rPr>
          <w:rFonts w:hint="eastAsia" w:ascii="仿宋_GB2312" w:hAnsi="仿宋_GB2312" w:eastAsia="仿宋_GB2312" w:cs="仿宋_GB2312"/>
          <w:spacing w:val="2"/>
          <w:kern w:val="32"/>
          <w:sz w:val="30"/>
          <w:szCs w:val="30"/>
          <w:lang w:val="en-US" w:eastAsia="zh-CN" w:bidi="ar-SA"/>
        </w:rPr>
        <w:t>工程实施实行项目法人责任制、招标投标制、建设监理制、</w:t>
      </w:r>
      <w:r>
        <w:rPr>
          <w:rFonts w:hint="eastAsia" w:ascii="仿宋_GB2312" w:hAnsi="仿宋_GB2312" w:eastAsia="仿宋_GB2312" w:cs="仿宋_GB2312"/>
          <w:spacing w:val="2"/>
          <w:kern w:val="32"/>
          <w:sz w:val="30"/>
          <w:szCs w:val="30"/>
          <w:lang w:val="en-US" w:eastAsia="zh-CN" w:bidi="ar-SA"/>
        </w:rPr>
        <w:fldChar w:fldCharType="begin"/>
      </w:r>
      <w:r>
        <w:rPr>
          <w:rFonts w:hint="eastAsia" w:ascii="仿宋_GB2312" w:hAnsi="仿宋_GB2312" w:eastAsia="仿宋_GB2312" w:cs="仿宋_GB2312"/>
          <w:spacing w:val="2"/>
          <w:kern w:val="32"/>
          <w:sz w:val="30"/>
          <w:szCs w:val="30"/>
          <w:lang w:val="en-US" w:eastAsia="zh-CN" w:bidi="ar-SA"/>
        </w:rPr>
        <w:instrText xml:space="preserve"> HYPERLINK "http://www.so.com/s?q=%E5%90%88%E5%90%8C%E7%AE%A1%E7%90%86&amp;ie=utf-8&amp;src=internal_wenda_recommend_textn" \t "https://wenda.so.com/q/_blank" </w:instrText>
      </w:r>
      <w:r>
        <w:rPr>
          <w:rFonts w:hint="eastAsia" w:ascii="仿宋_GB2312" w:hAnsi="仿宋_GB2312" w:eastAsia="仿宋_GB2312" w:cs="仿宋_GB2312"/>
          <w:spacing w:val="2"/>
          <w:kern w:val="32"/>
          <w:sz w:val="30"/>
          <w:szCs w:val="30"/>
          <w:lang w:val="en-US" w:eastAsia="zh-CN" w:bidi="ar-SA"/>
        </w:rPr>
        <w:fldChar w:fldCharType="separate"/>
      </w:r>
      <w:r>
        <w:rPr>
          <w:rFonts w:hint="eastAsia" w:ascii="仿宋_GB2312" w:hAnsi="仿宋_GB2312" w:eastAsia="仿宋_GB2312" w:cs="仿宋_GB2312"/>
          <w:spacing w:val="2"/>
          <w:kern w:val="32"/>
          <w:sz w:val="30"/>
          <w:szCs w:val="30"/>
          <w:lang w:val="en-US" w:eastAsia="zh-CN" w:bidi="ar-SA"/>
        </w:rPr>
        <w:t>合同管理</w:t>
      </w:r>
      <w:r>
        <w:rPr>
          <w:rFonts w:hint="eastAsia" w:ascii="仿宋_GB2312" w:hAnsi="仿宋_GB2312" w:eastAsia="仿宋_GB2312" w:cs="仿宋_GB2312"/>
          <w:spacing w:val="2"/>
          <w:kern w:val="32"/>
          <w:sz w:val="30"/>
          <w:szCs w:val="30"/>
          <w:lang w:val="en-US" w:eastAsia="zh-CN" w:bidi="ar-SA"/>
        </w:rPr>
        <w:fldChar w:fldCharType="end"/>
      </w:r>
      <w:r>
        <w:rPr>
          <w:rFonts w:hint="eastAsia" w:ascii="仿宋_GB2312" w:hAnsi="仿宋_GB2312" w:eastAsia="仿宋_GB2312" w:cs="仿宋_GB2312"/>
          <w:spacing w:val="2"/>
          <w:kern w:val="32"/>
          <w:sz w:val="30"/>
          <w:szCs w:val="30"/>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高标准农田改造提升项目建设任务顺利完成，绵竹市农业农村局成立绵竹市2023年高标准农田改造提升项目领导小组（竹农农建[2023] 10号），项目实施的重大决策由农田建设项目领导小组决定。领导小组下设办公室，项目镇同时成立主要领导任组长的项目实施小组，负责项目具体实施工作，明确各自责任和工作要求。</w:t>
      </w:r>
    </w:p>
    <w:bookmarkEnd w:id="0"/>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为推进项目实施，市农业农村局成立了由局长任组长、分管领导任副组长、各相关股室任成员的“绵竹市2023年高标准农田改造提升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（三）项目监管情况。</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1、工程质量方面。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一是严把原材料进入关，所有进场的原材料均要查验标号、出厂日期、批次数量、出厂合格证明文件等，监理现场取样送检，均按照国家强制规定检测抽检合格后，方才使用。</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二是采购第三方检测机构按照国家强制规定和相关建筑工程施工质量验收规范，对相关原材料以及施工中、施工后相关工程开展质量检测。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三是渠系工程、道路工程隐蔽工程均经监理工程师、施工技术负责人、业主代表进行隐蔽验收合格，方才进行下道工序施工。</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四是单元工程、分部工程、分段验收、竣工初验均在相关责任方参加检查后，形成验收合格结论。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五是各类工程变更、工程计量、现场收方均按照施工合同及有关政策规定程序报批同意，形成计量资料。</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六是施工过程中的施工前、施工中、完工后的影像资料图片。</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2、质量监督体系方面。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一是项目监理单位按照项目管理要求制定切合实际的监理工作方案和监理计划。</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二是各项目标段均派驻了旁站监理督促工程质量，且每日上报工程建设进度和相关质量要求。</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四是各项目村均指派了群众监督员，跟踪督查当日工程质量。</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通过市级、部门、项目镇村四级工作机制的建立，有力地促进了我市2023年高标准农田改造提升项目的工程质量工作开展。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（一）项目完成情况。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截至2023年12月底，项目已完成总工程量的95%。</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（二）项目效益情况。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项目实施，一是项目区基础设施得到了极大改善，方便了广大人民群众的出行和田间劳作。二是通过“三网”的配套建设，项目区的农业生产条件进一步提高，有效提高了项目区土地综合生产能力。三是通过路网的建设，交通更加便利，全面提升了机械化水平，项目实施区域的农业生产机械化水平达到了100%。四是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（一）评价结论。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加快推进绵竹市2023年高标准农田改造提升项目，做好后期验收工作。</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（二）存在的问题。</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（三）相关建议。</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1.加强队伍建设。</w:t>
      </w:r>
      <w:r>
        <w:rPr>
          <w:rFonts w:hint="eastAsia" w:ascii="仿宋_GB2312" w:hAnsi="仿宋_GB2312" w:eastAsia="仿宋_GB2312" w:cs="仿宋_GB2312"/>
          <w:spacing w:val="2"/>
          <w:kern w:val="32"/>
          <w:sz w:val="30"/>
          <w:szCs w:val="30"/>
          <w:lang w:val="en-US" w:eastAsia="zh-CN" w:bidi="ar-SA"/>
        </w:rPr>
        <w:t>一是加强对现有高标准农田建设队伍的技术再培训，利用省市各级技术培训会组织从业人员参训。二是不断充实专业人员从事农田建设的管理工作。</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2.加强对项目镇村的考核工作。</w:t>
      </w:r>
      <w:r>
        <w:rPr>
          <w:rFonts w:hint="eastAsia" w:ascii="仿宋_GB2312" w:hAnsi="仿宋_GB2312" w:eastAsia="仿宋_GB2312" w:cs="仿宋_GB2312"/>
          <w:spacing w:val="2"/>
          <w:kern w:val="32"/>
          <w:sz w:val="30"/>
          <w:szCs w:val="30"/>
          <w:lang w:val="en-US" w:eastAsia="zh-CN" w:bidi="ar-SA"/>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0C5595-F87D-48AE-8E9E-8917766F92D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D3F78ECB-D329-4161-9C0D-187FDD0D4074}"/>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A46730D9-2C43-4188-BC9B-5047E4CC72EA}"/>
  </w:font>
  <w:font w:name="仿宋_GB2312">
    <w:altName w:val="仿宋"/>
    <w:panose1 w:val="02010609030101010101"/>
    <w:charset w:val="86"/>
    <w:family w:val="modern"/>
    <w:pitch w:val="default"/>
    <w:sig w:usb0="00000000" w:usb1="00000000" w:usb2="00000000" w:usb3="00000000" w:csb0="00040000" w:csb1="00000000"/>
    <w:embedRegular r:id="rId4" w:fontKey="{914EAFAC-3F5A-494E-A1B0-35ED51689FE2}"/>
  </w:font>
  <w:font w:name="楷体_GB2312">
    <w:altName w:val="楷体"/>
    <w:panose1 w:val="00000000000000000000"/>
    <w:charset w:val="86"/>
    <w:family w:val="modern"/>
    <w:pitch w:val="default"/>
    <w:sig w:usb0="00000000" w:usb1="00000000" w:usb2="00000010" w:usb3="00000000" w:csb0="00040000" w:csb1="00000000"/>
    <w:embedRegular r:id="rId5" w:fontKey="{FFA8F553-4DCC-4E5C-A71B-44B9D8E56C4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ZGJlNmRlZDg2NjMzOGNkNTllOWM0ZjVkOGQ3Mzg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8355ADD"/>
    <w:rsid w:val="08732C15"/>
    <w:rsid w:val="08B1197F"/>
    <w:rsid w:val="08EB044B"/>
    <w:rsid w:val="08FB32A3"/>
    <w:rsid w:val="09402270"/>
    <w:rsid w:val="09DA7137"/>
    <w:rsid w:val="0AA55524"/>
    <w:rsid w:val="0C670CE3"/>
    <w:rsid w:val="0EDD3CCB"/>
    <w:rsid w:val="10603525"/>
    <w:rsid w:val="11021D0D"/>
    <w:rsid w:val="120874C5"/>
    <w:rsid w:val="12211934"/>
    <w:rsid w:val="12BB3598"/>
    <w:rsid w:val="12D5457F"/>
    <w:rsid w:val="13EE3A98"/>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8264035"/>
    <w:rsid w:val="28C300FA"/>
    <w:rsid w:val="2A3E4020"/>
    <w:rsid w:val="2ADC47FC"/>
    <w:rsid w:val="2B620B9B"/>
    <w:rsid w:val="2F962CDA"/>
    <w:rsid w:val="2FC8743B"/>
    <w:rsid w:val="30493B53"/>
    <w:rsid w:val="31723B02"/>
    <w:rsid w:val="31A13244"/>
    <w:rsid w:val="333556F1"/>
    <w:rsid w:val="333C22B8"/>
    <w:rsid w:val="33A71323"/>
    <w:rsid w:val="360B5CC0"/>
    <w:rsid w:val="37A83DDA"/>
    <w:rsid w:val="3D324D96"/>
    <w:rsid w:val="3D9F74B0"/>
    <w:rsid w:val="40410627"/>
    <w:rsid w:val="418036D2"/>
    <w:rsid w:val="439E2535"/>
    <w:rsid w:val="44987295"/>
    <w:rsid w:val="44B47CF5"/>
    <w:rsid w:val="452151CC"/>
    <w:rsid w:val="45890F52"/>
    <w:rsid w:val="46362EF9"/>
    <w:rsid w:val="476C55E1"/>
    <w:rsid w:val="47EA36EA"/>
    <w:rsid w:val="49B36B59"/>
    <w:rsid w:val="4ACC02BE"/>
    <w:rsid w:val="4BC13264"/>
    <w:rsid w:val="4DD91393"/>
    <w:rsid w:val="4DEF5C6D"/>
    <w:rsid w:val="4E2138BA"/>
    <w:rsid w:val="4E554B17"/>
    <w:rsid w:val="4E794517"/>
    <w:rsid w:val="54CD01F1"/>
    <w:rsid w:val="54FD75FF"/>
    <w:rsid w:val="55084399"/>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6310F3D"/>
    <w:rsid w:val="670D26E1"/>
    <w:rsid w:val="67705046"/>
    <w:rsid w:val="67971B0C"/>
    <w:rsid w:val="68182006"/>
    <w:rsid w:val="685F2CC2"/>
    <w:rsid w:val="69365B4B"/>
    <w:rsid w:val="6A2E5B11"/>
    <w:rsid w:val="6C4B1FD3"/>
    <w:rsid w:val="6C53360D"/>
    <w:rsid w:val="6F08521F"/>
    <w:rsid w:val="71987EDA"/>
    <w:rsid w:val="725974A3"/>
    <w:rsid w:val="76432354"/>
    <w:rsid w:val="76CF5F86"/>
    <w:rsid w:val="77F20609"/>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9</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055E40F2E61A4B458349ED6CCB71A90C_13</vt:lpwstr>
  </property>
</Properties>
</file>