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80" w:lineRule="exact"/>
        <w:jc w:val="center"/>
        <w:rPr>
          <w:rFonts w:ascii="仿宋_GB2312" w:hAnsi="宋体"/>
          <w:color w:val="000000" w:themeColor="text1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2023</w:t>
      </w:r>
      <w:r>
        <w:rPr>
          <w:rFonts w:hint="eastAsia" w:asciiTheme="minorEastAsia" w:hAnsiTheme="minorEastAsia" w:eastAsiaTheme="minorEastAsia" w:cstheme="minorEastAsia"/>
          <w:lang w:eastAsia="zh-CN"/>
        </w:rPr>
        <w:t>年</w:t>
      </w:r>
      <w:r>
        <w:rPr>
          <w:rFonts w:hint="eastAsia" w:asciiTheme="minorEastAsia" w:hAnsiTheme="minorEastAsia" w:eastAsiaTheme="minorEastAsia" w:cstheme="minorEastAsia"/>
        </w:rPr>
        <w:t>耕地地力保护补贴</w:t>
      </w:r>
      <w:bookmarkStart w:id="2" w:name="_GoBack"/>
      <w:bookmarkEnd w:id="2"/>
    </w:p>
    <w:p>
      <w:pPr>
        <w:pStyle w:val="10"/>
        <w:spacing w:line="580" w:lineRule="exact"/>
        <w:ind w:firstLine="640"/>
        <w:jc w:val="center"/>
        <w:rPr>
          <w:rFonts w:ascii="宋体"/>
          <w:color w:val="000000" w:themeColor="text1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  <w:lang w:val="zh-CN"/>
        </w:rPr>
      </w:pPr>
      <w:r>
        <w:rPr>
          <w:rFonts w:hint="eastAsia" w:ascii="黑体" w:hAnsi="宋体" w:eastAsia="黑体"/>
          <w:color w:val="000000" w:themeColor="text1"/>
        </w:rPr>
        <w:t>一、</w:t>
      </w:r>
      <w:r>
        <w:rPr>
          <w:rFonts w:hint="eastAsia" w:ascii="黑体" w:hAnsi="宋体" w:eastAsia="黑体"/>
          <w:color w:val="000000" w:themeColor="text1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（一）项目基本情况。</w:t>
      </w:r>
    </w:p>
    <w:p>
      <w:pPr>
        <w:spacing w:line="360" w:lineRule="auto"/>
        <w:ind w:firstLine="640" w:firstLineChars="200"/>
        <w:rPr>
          <w:color w:val="000000" w:themeColor="text1"/>
        </w:rPr>
      </w:pPr>
      <w:bookmarkStart w:id="0" w:name="OLE_LINK3"/>
      <w:bookmarkStart w:id="1" w:name="OLE_LINK1"/>
      <w:r>
        <w:rPr>
          <w:rFonts w:hint="eastAsia"/>
          <w:color w:val="000000" w:themeColor="text1"/>
        </w:rPr>
        <w:t>根据</w:t>
      </w:r>
      <w:bookmarkEnd w:id="0"/>
      <w:bookmarkEnd w:id="1"/>
      <w:r>
        <w:rPr>
          <w:rFonts w:hAnsi="华文仿宋" w:eastAsia="华文仿宋"/>
          <w:color w:val="000000" w:themeColor="text1"/>
          <w:sz w:val="30"/>
        </w:rPr>
        <w:t>四川省财政厅、四川省农业农村厅《关于提前下达</w:t>
      </w:r>
      <w:r>
        <w:rPr>
          <w:rFonts w:eastAsia="华文仿宋"/>
          <w:color w:val="000000" w:themeColor="text1"/>
          <w:sz w:val="30"/>
        </w:rPr>
        <w:t>2023</w:t>
      </w:r>
      <w:r>
        <w:rPr>
          <w:rFonts w:hAnsi="华文仿宋" w:eastAsia="华文仿宋"/>
          <w:color w:val="000000" w:themeColor="text1"/>
          <w:sz w:val="30"/>
        </w:rPr>
        <w:t>年中央财政农业生产发展资金（耕地地力保护补贴）的通知》（川财农［</w:t>
      </w:r>
      <w:r>
        <w:rPr>
          <w:rFonts w:eastAsia="华文仿宋"/>
          <w:color w:val="000000" w:themeColor="text1"/>
          <w:sz w:val="30"/>
        </w:rPr>
        <w:t>2022</w:t>
      </w:r>
      <w:r>
        <w:rPr>
          <w:rFonts w:hAnsi="华文仿宋" w:eastAsia="华文仿宋"/>
          <w:color w:val="000000" w:themeColor="text1"/>
          <w:sz w:val="30"/>
        </w:rPr>
        <w:t>］</w:t>
      </w:r>
      <w:r>
        <w:rPr>
          <w:rFonts w:eastAsia="华文仿宋"/>
          <w:color w:val="000000" w:themeColor="text1"/>
          <w:sz w:val="30"/>
        </w:rPr>
        <w:t>154</w:t>
      </w:r>
      <w:r>
        <w:rPr>
          <w:rFonts w:hAnsi="华文仿宋" w:eastAsia="华文仿宋"/>
          <w:color w:val="000000" w:themeColor="text1"/>
          <w:sz w:val="30"/>
        </w:rPr>
        <w:t>号）</w:t>
      </w:r>
      <w:r>
        <w:rPr>
          <w:color w:val="000000" w:themeColor="text1"/>
          <w:sz w:val="30"/>
        </w:rPr>
        <w:t>有关要求，</w:t>
      </w:r>
      <w:r>
        <w:rPr>
          <w:rFonts w:hint="eastAsia"/>
          <w:color w:val="000000" w:themeColor="text1"/>
        </w:rPr>
        <w:t>结合我市实际，市农业农村局会同市财政局制定了绵竹市</w:t>
      </w:r>
      <w:r>
        <w:rPr>
          <w:color w:val="000000" w:themeColor="text1"/>
        </w:rPr>
        <w:t>202</w:t>
      </w:r>
      <w:r>
        <w:rPr>
          <w:rFonts w:hint="eastAsia"/>
          <w:color w:val="000000" w:themeColor="text1"/>
        </w:rPr>
        <w:t>3耕地地力保护补贴项目实施方案。在方案中确定：</w:t>
      </w:r>
      <w:r>
        <w:rPr>
          <w:color w:val="000000" w:themeColor="text1"/>
          <w:kern w:val="0"/>
        </w:rPr>
        <w:t>1</w:t>
      </w:r>
      <w:r>
        <w:rPr>
          <w:rFonts w:hint="eastAsia"/>
          <w:color w:val="000000" w:themeColor="text1"/>
          <w:kern w:val="0"/>
        </w:rPr>
        <w:t>、耕地地力保护补贴的补贴对象应为拥有耕地承包权的种地农民，享受补贴的农民要做到耕地不撂荒，地力不降低。特别是机动田和种植草皮的不列入补贴范围。针对承包方土地流转、身份转变等出现的补贴归属问题，按照</w:t>
      </w:r>
      <w:r>
        <w:rPr>
          <w:rFonts w:hint="eastAsia"/>
          <w:color w:val="000000" w:themeColor="text1"/>
        </w:rPr>
        <w:t>四川省农业农村厅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四川省财政厅《关于进一步做好耕地地力保护补贴工作的通知》（川农〔</w:t>
      </w:r>
      <w:r>
        <w:rPr>
          <w:color w:val="000000" w:themeColor="text1"/>
        </w:rPr>
        <w:t>2018</w:t>
      </w:r>
      <w:r>
        <w:rPr>
          <w:rFonts w:hint="eastAsia"/>
          <w:color w:val="000000" w:themeColor="text1"/>
        </w:rPr>
        <w:t>〕</w:t>
      </w:r>
      <w:r>
        <w:rPr>
          <w:color w:val="000000" w:themeColor="text1"/>
        </w:rPr>
        <w:t>16</w:t>
      </w:r>
      <w:r>
        <w:rPr>
          <w:rFonts w:hint="eastAsia"/>
          <w:color w:val="000000" w:themeColor="text1"/>
        </w:rPr>
        <w:t>号）的相关要求执行。</w:t>
      </w:r>
      <w:r>
        <w:rPr>
          <w:color w:val="000000" w:themeColor="text1"/>
          <w:kern w:val="0"/>
        </w:rPr>
        <w:t>2</w:t>
      </w:r>
      <w:r>
        <w:rPr>
          <w:rFonts w:hint="eastAsia"/>
          <w:color w:val="000000" w:themeColor="text1"/>
          <w:kern w:val="0"/>
        </w:rPr>
        <w:t>、补贴范围。</w:t>
      </w:r>
      <w:r>
        <w:rPr>
          <w:color w:val="000000" w:themeColor="text1"/>
          <w:kern w:val="0"/>
        </w:rPr>
        <w:t>“</w:t>
      </w:r>
      <w:r>
        <w:rPr>
          <w:rFonts w:hint="eastAsia"/>
          <w:color w:val="000000" w:themeColor="text1"/>
          <w:kern w:val="0"/>
        </w:rPr>
        <w:t>耕地地力保护补贴</w:t>
      </w:r>
      <w:r>
        <w:rPr>
          <w:color w:val="000000" w:themeColor="text1"/>
          <w:kern w:val="0"/>
        </w:rPr>
        <w:t>”</w:t>
      </w:r>
      <w:r>
        <w:rPr>
          <w:rFonts w:hint="eastAsia"/>
          <w:color w:val="000000" w:themeColor="text1"/>
          <w:kern w:val="0"/>
        </w:rPr>
        <w:t>与耕地面积挂钩，耕地面积的核定，以土地承包面积为基础，按排除法进行调整。对已作为畜牧养殖场使用的耕地、林地、非农业征（占）用耕地等已改变用途的耕地，以及长年抛荒地、占补平衡中</w:t>
      </w:r>
      <w:r>
        <w:rPr>
          <w:color w:val="000000" w:themeColor="text1"/>
          <w:kern w:val="0"/>
        </w:rPr>
        <w:t>“</w:t>
      </w:r>
      <w:r>
        <w:rPr>
          <w:rFonts w:hint="eastAsia"/>
          <w:color w:val="000000" w:themeColor="text1"/>
          <w:kern w:val="0"/>
        </w:rPr>
        <w:t>补</w:t>
      </w:r>
      <w:r>
        <w:rPr>
          <w:color w:val="000000" w:themeColor="text1"/>
          <w:kern w:val="0"/>
        </w:rPr>
        <w:t>”</w:t>
      </w:r>
      <w:r>
        <w:rPr>
          <w:rFonts w:hint="eastAsia"/>
          <w:color w:val="000000" w:themeColor="text1"/>
          <w:kern w:val="0"/>
        </w:rPr>
        <w:t>的面积和质量达不到耕种条件的耕地等不给予补贴。针对集体土地、改变用途的耕地等面积核实中执行标准不一的问题，按照</w:t>
      </w:r>
      <w:r>
        <w:rPr>
          <w:rFonts w:hint="eastAsia"/>
          <w:color w:val="000000" w:themeColor="text1"/>
        </w:rPr>
        <w:t>四川省农业农村厅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四川省财政厅《关于进一步做好耕地地力保护补贴工作的通知》（川农〔</w:t>
      </w:r>
      <w:r>
        <w:rPr>
          <w:color w:val="000000" w:themeColor="text1"/>
        </w:rPr>
        <w:t>2018</w:t>
      </w:r>
      <w:r>
        <w:rPr>
          <w:rFonts w:hint="eastAsia"/>
          <w:color w:val="000000" w:themeColor="text1"/>
        </w:rPr>
        <w:t>〕</w:t>
      </w:r>
      <w:r>
        <w:rPr>
          <w:color w:val="000000" w:themeColor="text1"/>
        </w:rPr>
        <w:t>16</w:t>
      </w:r>
      <w:r>
        <w:rPr>
          <w:rFonts w:hint="eastAsia"/>
          <w:color w:val="000000" w:themeColor="text1"/>
        </w:rPr>
        <w:t>号）的相关要求执行。</w:t>
      </w:r>
      <w:r>
        <w:rPr>
          <w:color w:val="000000" w:themeColor="text1"/>
          <w:kern w:val="0"/>
        </w:rPr>
        <w:t>3</w:t>
      </w:r>
      <w:r>
        <w:rPr>
          <w:rFonts w:hint="eastAsia"/>
          <w:color w:val="000000" w:themeColor="text1"/>
          <w:kern w:val="0"/>
        </w:rPr>
        <w:t>、补贴标准。根据省财政厅下达的补贴资金总额和全市补贴面积统筹确定。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/>
          <w:color w:val="000000" w:themeColor="text1"/>
          <w:sz w:val="30"/>
        </w:rPr>
        <w:t>按照</w:t>
      </w:r>
      <w:r>
        <w:rPr>
          <w:rFonts w:hAnsi="华文仿宋" w:eastAsia="华文仿宋"/>
          <w:color w:val="000000" w:themeColor="text1"/>
          <w:sz w:val="30"/>
        </w:rPr>
        <w:t>四川省财政厅、四川省农业农村厅《关于提前下达</w:t>
      </w:r>
      <w:r>
        <w:rPr>
          <w:rFonts w:eastAsia="华文仿宋"/>
          <w:color w:val="000000" w:themeColor="text1"/>
          <w:sz w:val="30"/>
        </w:rPr>
        <w:t>2023</w:t>
      </w:r>
      <w:r>
        <w:rPr>
          <w:rFonts w:hAnsi="华文仿宋" w:eastAsia="华文仿宋"/>
          <w:color w:val="000000" w:themeColor="text1"/>
          <w:sz w:val="30"/>
        </w:rPr>
        <w:t>年中央财政农业生产发展资金（耕地地力保护补贴）的通知》（川财农［</w:t>
      </w:r>
      <w:r>
        <w:rPr>
          <w:rFonts w:eastAsia="华文仿宋"/>
          <w:color w:val="000000" w:themeColor="text1"/>
          <w:sz w:val="30"/>
        </w:rPr>
        <w:t>2022</w:t>
      </w:r>
      <w:r>
        <w:rPr>
          <w:rFonts w:hAnsi="华文仿宋" w:eastAsia="华文仿宋"/>
          <w:color w:val="000000" w:themeColor="text1"/>
          <w:sz w:val="30"/>
        </w:rPr>
        <w:t>］</w:t>
      </w:r>
      <w:r>
        <w:rPr>
          <w:rFonts w:eastAsia="华文仿宋"/>
          <w:color w:val="000000" w:themeColor="text1"/>
          <w:sz w:val="30"/>
        </w:rPr>
        <w:t>154</w:t>
      </w:r>
      <w:r>
        <w:rPr>
          <w:rFonts w:hAnsi="华文仿宋" w:eastAsia="华文仿宋"/>
          <w:color w:val="000000" w:themeColor="text1"/>
          <w:sz w:val="30"/>
        </w:rPr>
        <w:t>号）和四川省农业农村厅、四川省财政厅《关于进一步做好耕地地力保护补贴工作的通知》（川农［</w:t>
      </w:r>
      <w:r>
        <w:rPr>
          <w:rFonts w:eastAsia="华文仿宋"/>
          <w:color w:val="000000" w:themeColor="text1"/>
          <w:sz w:val="30"/>
        </w:rPr>
        <w:t>2018</w:t>
      </w:r>
      <w:r>
        <w:rPr>
          <w:rFonts w:hAnsi="华文仿宋" w:eastAsia="华文仿宋"/>
          <w:color w:val="000000" w:themeColor="text1"/>
          <w:sz w:val="30"/>
        </w:rPr>
        <w:t>］</w:t>
      </w:r>
      <w:r>
        <w:rPr>
          <w:rFonts w:eastAsia="华文仿宋"/>
          <w:color w:val="000000" w:themeColor="text1"/>
          <w:sz w:val="30"/>
        </w:rPr>
        <w:t>16</w:t>
      </w:r>
      <w:r>
        <w:rPr>
          <w:rFonts w:hAnsi="华文仿宋" w:eastAsia="华文仿宋"/>
          <w:color w:val="000000" w:themeColor="text1"/>
          <w:sz w:val="30"/>
        </w:rPr>
        <w:t>号）</w:t>
      </w:r>
      <w:r>
        <w:rPr>
          <w:color w:val="000000" w:themeColor="text1"/>
          <w:sz w:val="30"/>
        </w:rPr>
        <w:t>有关要求，</w:t>
      </w:r>
      <w:r>
        <w:rPr>
          <w:rFonts w:ascii="仿宋_GB2312" w:hAnsi="宋体"/>
          <w:color w:val="000000" w:themeColor="text1"/>
        </w:rPr>
        <w:t>202</w:t>
      </w:r>
      <w:r>
        <w:rPr>
          <w:rFonts w:hint="eastAsia" w:ascii="仿宋_GB2312" w:hAnsi="宋体"/>
          <w:color w:val="000000" w:themeColor="text1"/>
        </w:rPr>
        <w:t>3年耕地地力保护补贴资金发放时限为6月</w:t>
      </w:r>
      <w:r>
        <w:rPr>
          <w:rFonts w:ascii="仿宋_GB2312" w:hAnsi="宋体"/>
          <w:color w:val="000000" w:themeColor="text1"/>
        </w:rPr>
        <w:t>30</w:t>
      </w:r>
      <w:r>
        <w:rPr>
          <w:rFonts w:hint="eastAsia" w:ascii="仿宋_GB2312" w:hAnsi="宋体"/>
          <w:color w:val="000000" w:themeColor="text1"/>
        </w:rPr>
        <w:t>日前。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说明项目绩效自评采用的组织实施步骤及方法。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由于此资金是中央的补贴资金，无申报及批复程序。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1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．资金计划。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lang w:val="zh-CN"/>
        </w:rPr>
      </w:pPr>
      <w:r>
        <w:rPr>
          <w:rFonts w:hint="eastAsia" w:ascii="楷体_GB2312" w:hAnsi="宋体" w:eastAsia="楷体_GB2312"/>
          <w:color w:val="000000" w:themeColor="text1"/>
          <w:lang w:val="zh-CN"/>
        </w:rPr>
        <w:t>此资金是</w:t>
      </w:r>
      <w:r>
        <w:rPr>
          <w:rFonts w:hint="eastAsia" w:ascii="仿宋_GB2312" w:hAnsi="宋体"/>
          <w:color w:val="000000" w:themeColor="text1"/>
        </w:rPr>
        <w:t>中央财政农业生产发展资金，无其他资金来源。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2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</w:rPr>
      </w:pPr>
      <w:r>
        <w:rPr>
          <w:rFonts w:hint="eastAsia" w:ascii="仿宋_GB2312" w:hAnsi="宋体"/>
          <w:color w:val="000000" w:themeColor="text1"/>
        </w:rPr>
        <w:t>2023上级给我市下达耕地地力保护资金4825.78万元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3</w:t>
      </w:r>
      <w:r>
        <w:rPr>
          <w:rFonts w:hint="eastAsia" w:ascii="楷体_GB2312" w:hAnsi="宋体" w:eastAsia="楷体_GB2312"/>
          <w:color w:val="000000" w:themeColor="text1"/>
          <w:lang w:val="zh-CN"/>
        </w:rPr>
        <w:t>．资金使用。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中央资金4825.78万元，补贴面积348004.65亩，补贴标准为138.67元/亩，实发4825.78万元，全部发到农户。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（三）项目财务管理情况。</w:t>
      </w:r>
    </w:p>
    <w:p>
      <w:pPr>
        <w:ind w:firstLine="640" w:firstLineChars="200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严格按照方案执行，通过系统进行申报、发放。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（一）项目组织架构及实施流程。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村（社区）申报、镇（街道）初步审核、农业农村局农技站汇总、核实并确认、绵竹市财政局核算补贴标准、镇（街道）和村资金公示均在省农业农村厅提供的资格审批平台进行，农业农村局农技站从资格审批平台推送到惠民惠农财政补贴资金“一卡通”监管服务平台发放补贴资金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实行补贴面积和补贴资金公示制。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严格按照方案实行补贴面积和补贴资金公示制。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黑体" w:hAnsi="宋体" w:eastAsia="黑体"/>
          <w:color w:val="000000" w:themeColor="text1"/>
        </w:rPr>
        <w:t>四、项目绩效情况</w:t>
      </w:r>
      <w:r>
        <w:rPr>
          <w:rFonts w:ascii="仿宋_GB2312" w:hAnsi="宋体"/>
          <w:color w:val="000000" w:themeColor="text1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（一）项目完成情况。</w:t>
      </w:r>
    </w:p>
    <w:p>
      <w:pPr>
        <w:spacing w:line="538" w:lineRule="exact"/>
        <w:ind w:firstLine="700"/>
        <w:rPr>
          <w:color w:val="000000" w:themeColor="text1"/>
        </w:rPr>
      </w:pPr>
      <w:r>
        <w:rPr>
          <w:rFonts w:hint="eastAsia"/>
          <w:color w:val="000000" w:themeColor="text1"/>
        </w:rPr>
        <w:t>根据</w:t>
      </w:r>
      <w:r>
        <w:rPr>
          <w:rFonts w:hAnsi="华文仿宋" w:eastAsia="华文仿宋"/>
          <w:color w:val="000000" w:themeColor="text1"/>
          <w:sz w:val="30"/>
        </w:rPr>
        <w:t>四川省财政厅、四川省农业农村厅《关于提前下达</w:t>
      </w:r>
      <w:r>
        <w:rPr>
          <w:rFonts w:eastAsia="华文仿宋"/>
          <w:color w:val="000000" w:themeColor="text1"/>
          <w:sz w:val="30"/>
        </w:rPr>
        <w:t>2023</w:t>
      </w:r>
      <w:r>
        <w:rPr>
          <w:rFonts w:hAnsi="华文仿宋" w:eastAsia="华文仿宋"/>
          <w:color w:val="000000" w:themeColor="text1"/>
          <w:sz w:val="30"/>
        </w:rPr>
        <w:t>年中央财政农业生产发展资金（耕地地力保护补贴）的通知》（川财农［</w:t>
      </w:r>
      <w:r>
        <w:rPr>
          <w:rFonts w:eastAsia="华文仿宋"/>
          <w:color w:val="000000" w:themeColor="text1"/>
          <w:sz w:val="30"/>
        </w:rPr>
        <w:t>2022</w:t>
      </w:r>
      <w:r>
        <w:rPr>
          <w:rFonts w:hAnsi="华文仿宋" w:eastAsia="华文仿宋"/>
          <w:color w:val="000000" w:themeColor="text1"/>
          <w:sz w:val="30"/>
        </w:rPr>
        <w:t>］</w:t>
      </w:r>
      <w:r>
        <w:rPr>
          <w:rFonts w:eastAsia="华文仿宋"/>
          <w:color w:val="000000" w:themeColor="text1"/>
          <w:sz w:val="30"/>
        </w:rPr>
        <w:t>154</w:t>
      </w:r>
      <w:r>
        <w:rPr>
          <w:rFonts w:hAnsi="华文仿宋" w:eastAsia="华文仿宋"/>
          <w:color w:val="000000" w:themeColor="text1"/>
          <w:sz w:val="30"/>
        </w:rPr>
        <w:t>号）</w:t>
      </w:r>
      <w:r>
        <w:rPr>
          <w:color w:val="000000" w:themeColor="text1"/>
          <w:sz w:val="30"/>
        </w:rPr>
        <w:t>有关要求，</w:t>
      </w:r>
      <w:r>
        <w:rPr>
          <w:rFonts w:hint="eastAsia"/>
          <w:color w:val="000000" w:themeColor="text1"/>
        </w:rPr>
        <w:t>结合我市实际，市农业农村局会同市财政局制定了绵竹市</w:t>
      </w:r>
      <w:r>
        <w:rPr>
          <w:color w:val="000000" w:themeColor="text1"/>
        </w:rPr>
        <w:t>202</w:t>
      </w:r>
      <w:r>
        <w:rPr>
          <w:rFonts w:hint="eastAsia"/>
          <w:color w:val="000000" w:themeColor="text1"/>
        </w:rPr>
        <w:t>3耕地地力保护补贴项目实施方案。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中央资金</w:t>
      </w:r>
      <w:r>
        <w:rPr>
          <w:rFonts w:ascii="仿宋_GB2312" w:hAnsi="宋体"/>
          <w:color w:val="000000" w:themeColor="text1"/>
          <w:lang w:val="zh-CN"/>
        </w:rPr>
        <w:t>4</w:t>
      </w:r>
      <w:r>
        <w:rPr>
          <w:rFonts w:hint="eastAsia" w:ascii="仿宋_GB2312" w:hAnsi="宋体"/>
          <w:color w:val="000000" w:themeColor="text1"/>
          <w:lang w:val="zh-CN"/>
        </w:rPr>
        <w:t>825.78万元，补贴面积348004.65亩，补贴标准为138.67元/亩，补贴资金全部发放到户。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/>
          <w:color w:val="000000" w:themeColor="text1"/>
          <w:lang w:val="zh-CN"/>
        </w:rPr>
      </w:pPr>
      <w:r>
        <w:rPr>
          <w:rFonts w:ascii="楷体_GB2312" w:hAnsi="宋体" w:eastAsia="楷体_GB2312"/>
          <w:color w:val="000000" w:themeColor="text1"/>
          <w:lang w:val="zh-CN"/>
        </w:rPr>
        <w:t>1</w:t>
      </w:r>
      <w:r>
        <w:rPr>
          <w:rFonts w:hint="eastAsia" w:ascii="楷体_GB2312" w:hAnsi="宋体" w:eastAsia="楷体_GB2312"/>
          <w:color w:val="000000" w:themeColor="text1"/>
          <w:lang w:val="zh-CN"/>
        </w:rPr>
        <w:t>、经济效益：</w:t>
      </w:r>
      <w:r>
        <w:rPr>
          <w:rFonts w:hint="eastAsia"/>
          <w:color w:val="000000" w:themeColor="text1"/>
          <w:lang w:val="zh-CN"/>
        </w:rPr>
        <w:t>全市农民增加现金收入4825.78万元。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000000" w:themeColor="text1"/>
          <w:lang w:val="zh-CN"/>
        </w:rPr>
      </w:pPr>
      <w:r>
        <w:rPr>
          <w:rFonts w:ascii="仿宋_GB2312" w:hAnsi="宋体"/>
          <w:color w:val="000000" w:themeColor="text1"/>
          <w:lang w:val="zh-CN"/>
        </w:rPr>
        <w:t>2</w:t>
      </w:r>
      <w:r>
        <w:rPr>
          <w:rFonts w:hint="eastAsia" w:ascii="楷体_GB2312" w:hAnsi="宋体" w:eastAsia="楷体_GB2312"/>
          <w:color w:val="000000" w:themeColor="text1"/>
          <w:lang w:val="zh-CN"/>
        </w:rPr>
        <w:t>、</w:t>
      </w:r>
      <w:r>
        <w:rPr>
          <w:rFonts w:hint="eastAsia" w:ascii="仿宋_GB2312" w:hAnsi="宋体"/>
          <w:color w:val="000000" w:themeColor="text1"/>
          <w:lang w:val="zh-CN"/>
        </w:rPr>
        <w:t>生态效益：保证耕地不撂荒、地力不下降。</w:t>
      </w:r>
    </w:p>
    <w:p>
      <w:pPr>
        <w:spacing w:line="600" w:lineRule="exact"/>
        <w:ind w:firstLine="640" w:firstLineChars="200"/>
        <w:rPr>
          <w:color w:val="000000" w:themeColor="text1"/>
        </w:rPr>
      </w:pPr>
      <w:r>
        <w:rPr>
          <w:rFonts w:ascii="仿宋_GB2312" w:hAnsi="宋体"/>
          <w:color w:val="000000" w:themeColor="text1"/>
          <w:lang w:val="zh-CN"/>
        </w:rPr>
        <w:t>3</w:t>
      </w:r>
      <w:r>
        <w:rPr>
          <w:rFonts w:hint="eastAsia" w:ascii="仿宋_GB2312" w:hAnsi="宋体"/>
          <w:color w:val="000000" w:themeColor="text1"/>
          <w:lang w:val="zh-CN"/>
        </w:rPr>
        <w:t>、提高</w:t>
      </w:r>
      <w:r>
        <w:rPr>
          <w:rFonts w:hint="eastAsia"/>
          <w:color w:val="000000" w:themeColor="text1"/>
        </w:rPr>
        <w:t>农户现金收入，带动农民增收、农业增效，</w:t>
      </w:r>
      <w:r>
        <w:rPr>
          <w:rFonts w:hint="eastAsia" w:ascii="仿宋_GB2312"/>
          <w:color w:val="000000" w:themeColor="text1"/>
        </w:rPr>
        <w:t>农民满意度达</w:t>
      </w:r>
      <w:r>
        <w:rPr>
          <w:rFonts w:ascii="仿宋_GB2312"/>
          <w:color w:val="000000" w:themeColor="text1"/>
        </w:rPr>
        <w:t>90%</w:t>
      </w:r>
      <w:r>
        <w:rPr>
          <w:rFonts w:hint="eastAsia" w:ascii="仿宋_GB2312"/>
          <w:color w:val="000000" w:themeColor="text1"/>
        </w:rPr>
        <w:t>以上。存在个别农户因社保卡问题多次到有关部门处理解决，因此不太满意。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color w:val="000000" w:themeColor="text1"/>
        </w:rPr>
      </w:pPr>
      <w:r>
        <w:rPr>
          <w:rFonts w:hint="eastAsia" w:ascii="黑体" w:hAnsi="宋体" w:eastAsia="黑体"/>
          <w:color w:val="000000" w:themeColor="text1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 w:eastAsia="zh-CN"/>
        </w:rPr>
        <w:t>补贴资金</w:t>
      </w:r>
      <w:r>
        <w:rPr>
          <w:rFonts w:hint="eastAsia" w:ascii="仿宋_GB2312" w:hAnsi="宋体"/>
          <w:color w:val="000000" w:themeColor="text1"/>
          <w:lang w:val="zh-CN"/>
        </w:rPr>
        <w:t>实发4825.78万元，全部发到农户。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（二）存在的问题。</w:t>
      </w:r>
    </w:p>
    <w:p>
      <w:pPr>
        <w:spacing w:line="600" w:lineRule="exact"/>
        <w:ind w:firstLine="64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1、镇村组工作人员积极性不高、人员变动频繁</w:t>
      </w:r>
    </w:p>
    <w:p>
      <w:pPr>
        <w:spacing w:line="600" w:lineRule="exact"/>
        <w:ind w:firstLine="64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此项目涉及农户多，工作强度大又没有工作经费，村组工作人员核查积极性不高，导致核查第一关力度不够，造成人员信息错误多，影响补贴资金及时发放。</w:t>
      </w:r>
    </w:p>
    <w:p>
      <w:pPr>
        <w:spacing w:line="600" w:lineRule="exact"/>
        <w:ind w:firstLine="64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2、大数据运用不到位</w:t>
      </w:r>
      <w:r>
        <w:rPr>
          <w:color w:val="000000" w:themeColor="text1"/>
        </w:rPr>
        <w:tab/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color w:val="000000" w:themeColor="text1"/>
          <w:lang w:val="zh-CN"/>
        </w:rPr>
      </w:pPr>
      <w:r>
        <w:rPr>
          <w:rFonts w:hint="eastAsia"/>
          <w:color w:val="000000" w:themeColor="text1"/>
        </w:rPr>
        <w:t>有的村组人员没及时更正死亡人员信息、纠正农户相关信息，同时银行回盘信息特别是社保卡问题应方便持卡人修正，有的持卡人多次到银行对接均不能实现补贴资金成功发放，导致补贴发放进度慢，发放次数多，工作效益不高。建议多部门能力协作，平台公司及时与公安、人社、民政等部门配合，及时升级资金发放系统，确保资金发放效益提高。</w:t>
      </w:r>
    </w:p>
    <w:p>
      <w:pPr>
        <w:adjustRightInd w:val="0"/>
        <w:snapToGrid w:val="0"/>
        <w:spacing w:line="580" w:lineRule="exact"/>
        <w:ind w:firstLine="480" w:firstLineChars="15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3、此工作审核面积和资金发放由农业农村局农技站实施，审计部门提出不符合财政的权和事分离的要求。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color w:val="000000" w:themeColor="text1"/>
          <w:lang w:val="zh-CN"/>
        </w:rPr>
      </w:pPr>
      <w:r>
        <w:rPr>
          <w:rFonts w:hint="eastAsia" w:ascii="楷体_GB2312" w:hAnsi="宋体" w:eastAsia="楷体_GB2312"/>
          <w:b/>
          <w:color w:val="000000" w:themeColor="text1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  <w:r>
        <w:rPr>
          <w:rFonts w:hint="eastAsia" w:ascii="仿宋_GB2312" w:hAnsi="宋体"/>
          <w:color w:val="000000" w:themeColor="text1"/>
          <w:lang w:val="zh-CN"/>
        </w:rPr>
        <w:t>建议给村、镇适当的工作经费。</w:t>
      </w: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800" w:firstLineChars="250"/>
        <w:rPr>
          <w:rFonts w:ascii="仿宋_GB2312" w:hAnsi="宋体"/>
          <w:color w:val="000000" w:themeColor="text1"/>
          <w:lang w:val="zh-CN"/>
        </w:rPr>
      </w:pPr>
    </w:p>
    <w:p>
      <w:pPr>
        <w:adjustRightInd w:val="0"/>
        <w:snapToGrid w:val="0"/>
        <w:spacing w:line="580" w:lineRule="exact"/>
        <w:ind w:firstLine="5120" w:firstLineChars="1600"/>
        <w:jc w:val="right"/>
        <w:rPr>
          <w:rFonts w:ascii="仿宋_GB2312" w:hAnsi="宋体"/>
          <w:color w:val="000000" w:themeColor="text1"/>
          <w:lang w:val="zh-CN"/>
        </w:rPr>
      </w:pPr>
      <w:r>
        <w:rPr>
          <w:rFonts w:ascii="仿宋_GB2312" w:hAnsi="宋体"/>
          <w:color w:val="000000" w:themeColor="text1"/>
          <w:lang w:val="zh-CN"/>
        </w:rPr>
        <w:t>202</w:t>
      </w:r>
      <w:r>
        <w:rPr>
          <w:rFonts w:hint="eastAsia" w:ascii="仿宋_GB2312" w:hAnsi="宋体"/>
          <w:color w:val="000000" w:themeColor="text1"/>
          <w:lang w:val="zh-CN"/>
        </w:rPr>
        <w:t>4年1月2日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color w:val="000000" w:themeColor="text1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10171B-1C2A-478E-B993-3A43A89F905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D019E6B-48A1-41CB-91BD-D5C4B2A1FFB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A5DEACD-DE4E-4D01-B3E4-6A260B7F5FA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0D553451-31B7-4F5F-80B2-F03FCA51D288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AE7868AE-95EC-4F3F-97F9-E487A6753B3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848CFCD4-D1E2-4ED2-888F-D459D40A3EF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319F3"/>
    <w:rsid w:val="000416ED"/>
    <w:rsid w:val="00052ED4"/>
    <w:rsid w:val="000556C3"/>
    <w:rsid w:val="00064917"/>
    <w:rsid w:val="00072D9A"/>
    <w:rsid w:val="00087DE9"/>
    <w:rsid w:val="00101DEA"/>
    <w:rsid w:val="00126355"/>
    <w:rsid w:val="00145B36"/>
    <w:rsid w:val="00174201"/>
    <w:rsid w:val="001903A2"/>
    <w:rsid w:val="001C1F53"/>
    <w:rsid w:val="001F47CE"/>
    <w:rsid w:val="00202680"/>
    <w:rsid w:val="00210E7D"/>
    <w:rsid w:val="00212D12"/>
    <w:rsid w:val="00220900"/>
    <w:rsid w:val="002231D4"/>
    <w:rsid w:val="00250DF3"/>
    <w:rsid w:val="002655A0"/>
    <w:rsid w:val="00291918"/>
    <w:rsid w:val="0029432A"/>
    <w:rsid w:val="002A3D99"/>
    <w:rsid w:val="002A75E2"/>
    <w:rsid w:val="002B2BD0"/>
    <w:rsid w:val="002B5B34"/>
    <w:rsid w:val="002B7924"/>
    <w:rsid w:val="002C4135"/>
    <w:rsid w:val="002E4636"/>
    <w:rsid w:val="002E7D7A"/>
    <w:rsid w:val="002F3669"/>
    <w:rsid w:val="002F4B60"/>
    <w:rsid w:val="00302821"/>
    <w:rsid w:val="00316DF4"/>
    <w:rsid w:val="00370BE9"/>
    <w:rsid w:val="00374466"/>
    <w:rsid w:val="0038460D"/>
    <w:rsid w:val="003B4463"/>
    <w:rsid w:val="003C60AA"/>
    <w:rsid w:val="003D6E3D"/>
    <w:rsid w:val="003E217E"/>
    <w:rsid w:val="003F0BF7"/>
    <w:rsid w:val="00400739"/>
    <w:rsid w:val="0040121A"/>
    <w:rsid w:val="004076B0"/>
    <w:rsid w:val="00413DC5"/>
    <w:rsid w:val="00426A6D"/>
    <w:rsid w:val="00427240"/>
    <w:rsid w:val="00431937"/>
    <w:rsid w:val="00441459"/>
    <w:rsid w:val="004427E3"/>
    <w:rsid w:val="004431EF"/>
    <w:rsid w:val="00447155"/>
    <w:rsid w:val="004679BD"/>
    <w:rsid w:val="004802FC"/>
    <w:rsid w:val="00484B5C"/>
    <w:rsid w:val="004B054D"/>
    <w:rsid w:val="004E2171"/>
    <w:rsid w:val="004E4BE1"/>
    <w:rsid w:val="004F20EC"/>
    <w:rsid w:val="00521D09"/>
    <w:rsid w:val="005354C0"/>
    <w:rsid w:val="00541F0A"/>
    <w:rsid w:val="00543D64"/>
    <w:rsid w:val="00572F4E"/>
    <w:rsid w:val="00574B28"/>
    <w:rsid w:val="00575D72"/>
    <w:rsid w:val="005842A2"/>
    <w:rsid w:val="005A32E9"/>
    <w:rsid w:val="005D109D"/>
    <w:rsid w:val="005D2ECF"/>
    <w:rsid w:val="005F3B5B"/>
    <w:rsid w:val="00602D4F"/>
    <w:rsid w:val="006067C2"/>
    <w:rsid w:val="00606D7B"/>
    <w:rsid w:val="006623C2"/>
    <w:rsid w:val="00676A42"/>
    <w:rsid w:val="00693617"/>
    <w:rsid w:val="00696CE5"/>
    <w:rsid w:val="006E3397"/>
    <w:rsid w:val="006F6F46"/>
    <w:rsid w:val="00724038"/>
    <w:rsid w:val="00733B34"/>
    <w:rsid w:val="007351A8"/>
    <w:rsid w:val="00786750"/>
    <w:rsid w:val="0079114D"/>
    <w:rsid w:val="007B28CD"/>
    <w:rsid w:val="007B372E"/>
    <w:rsid w:val="007D1418"/>
    <w:rsid w:val="007D6BCC"/>
    <w:rsid w:val="007F4D33"/>
    <w:rsid w:val="008217B6"/>
    <w:rsid w:val="00842106"/>
    <w:rsid w:val="0088619F"/>
    <w:rsid w:val="00892BA2"/>
    <w:rsid w:val="00895635"/>
    <w:rsid w:val="00896608"/>
    <w:rsid w:val="008A16A9"/>
    <w:rsid w:val="008B5721"/>
    <w:rsid w:val="008E4D6F"/>
    <w:rsid w:val="008F6FBC"/>
    <w:rsid w:val="008F788A"/>
    <w:rsid w:val="0093246B"/>
    <w:rsid w:val="0093332C"/>
    <w:rsid w:val="0096654A"/>
    <w:rsid w:val="009A166E"/>
    <w:rsid w:val="009B44FB"/>
    <w:rsid w:val="00A052FD"/>
    <w:rsid w:val="00A170EC"/>
    <w:rsid w:val="00A36A47"/>
    <w:rsid w:val="00A411A9"/>
    <w:rsid w:val="00A43A63"/>
    <w:rsid w:val="00A71504"/>
    <w:rsid w:val="00A71CE9"/>
    <w:rsid w:val="00A94114"/>
    <w:rsid w:val="00AA1423"/>
    <w:rsid w:val="00AA34C5"/>
    <w:rsid w:val="00AC3975"/>
    <w:rsid w:val="00AD280E"/>
    <w:rsid w:val="00B034BB"/>
    <w:rsid w:val="00B1471D"/>
    <w:rsid w:val="00B209B9"/>
    <w:rsid w:val="00B8240C"/>
    <w:rsid w:val="00BA42A6"/>
    <w:rsid w:val="00BD4236"/>
    <w:rsid w:val="00BF01B5"/>
    <w:rsid w:val="00C568A9"/>
    <w:rsid w:val="00C92166"/>
    <w:rsid w:val="00D42B6C"/>
    <w:rsid w:val="00D753A1"/>
    <w:rsid w:val="00E243CD"/>
    <w:rsid w:val="00E4357F"/>
    <w:rsid w:val="00E54061"/>
    <w:rsid w:val="00E80DBA"/>
    <w:rsid w:val="00E835FE"/>
    <w:rsid w:val="00EC0A70"/>
    <w:rsid w:val="00EC7CBF"/>
    <w:rsid w:val="00ED7026"/>
    <w:rsid w:val="00EE4B3E"/>
    <w:rsid w:val="00EF32A6"/>
    <w:rsid w:val="00EF3BD2"/>
    <w:rsid w:val="00F0205A"/>
    <w:rsid w:val="00F16A06"/>
    <w:rsid w:val="00F251E9"/>
    <w:rsid w:val="00F45CF2"/>
    <w:rsid w:val="00FD3EFA"/>
    <w:rsid w:val="00FD62E7"/>
    <w:rsid w:val="17807ED6"/>
    <w:rsid w:val="440677B8"/>
    <w:rsid w:val="4F761E9F"/>
    <w:rsid w:val="5C58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5">
    <w:name w:val="Body Text First Indent"/>
    <w:basedOn w:val="2"/>
    <w:autoRedefine/>
    <w:semiHidden/>
    <w:unhideWhenUsed/>
    <w:qFormat/>
    <w:uiPriority w:val="99"/>
    <w:pPr>
      <w:ind w:firstLine="420" w:firstLineChars="100"/>
    </w:pPr>
  </w:style>
  <w:style w:type="character" w:customStyle="1" w:styleId="8">
    <w:name w:val="页眉 Char"/>
    <w:basedOn w:val="7"/>
    <w:link w:val="4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四号正文"/>
    <w:basedOn w:val="1"/>
    <w:link w:val="11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1"/>
      <w:szCs w:val="20"/>
    </w:rPr>
  </w:style>
  <w:style w:type="character" w:customStyle="1" w:styleId="11">
    <w:name w:val="四号正文 Char"/>
    <w:link w:val="10"/>
    <w:autoRedefine/>
    <w:qFormat/>
    <w:locked/>
    <w:uiPriority w:val="99"/>
    <w:rPr>
      <w:rFonts w:ascii="??" w:hAnsi="??" w:eastAsia="宋体"/>
      <w:color w:val="00000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307</Words>
  <Characters>1750</Characters>
  <Lines>14</Lines>
  <Paragraphs>4</Paragraphs>
  <TotalTime>1</TotalTime>
  <ScaleCrop>false</ScaleCrop>
  <LinksUpToDate>false</LinksUpToDate>
  <CharactersWithSpaces>2053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2023-01-11T07:36:00Z</dcterms:created>
  <dc:creator>opi</dc:creator>
  <cp:lastModifiedBy>幻</cp:lastModifiedBy>
  <cp:lastPrinted>2024-01-09T07:30:00Z</cp:lastPrinted>
  <dcterms:modified xsi:type="dcterms:W3CDTF">2024-01-15T07:25:10Z</dcterms:modified>
  <dc:title>附件6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6157BEA43D944E6EB8BC3CF009D31BF7_12</vt:lpwstr>
  </property>
</Properties>
</file>