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2023年省级财政衔接推进乡村振兴补助资金（小麦产业集群项目）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bookmarkStart w:id="12" w:name="_GoBack"/>
      <w:bookmarkEnd w:id="12"/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一、</w:t>
      </w:r>
      <w:r>
        <w:rPr>
          <w:rFonts w:hint="eastAsia" w:ascii="黑体" w:hAnsi="宋体" w:eastAsia="黑体"/>
          <w:highlight w:val="none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（一）项目基本情况。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根据四川省财政厅、四川省乡村振兴局、四川省农业农村厅《关于下达2023年省级财政衔接推进乡村振兴补助资金（巩固拓展脱贫攻坚成果和乡村任务）预算的通知》(川财农【2023】109号)的要求，下达2023年度成都平原弱筋小麦产业集群绵竹市2023年项目资金695万元，主要用于核心示范基地建设工程、初加工生产设施建设工程、农机装备能力提升工程、新品种试验示范工程、社会化服务体系建设工程等5项工程建设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（二）项目绩效目标。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2023年度成都平原弱筋小麦产业集群绵竹市2023年项目资金695万元。核心示范基地建设工程：建设100亩高产技术攻关田；建立11个千亩示范区；建设小麦优良品种示范区6万亩；推广小麦免耕带旋播种技术面积10万亩；建立核心示范基地1万亩；目标2：初加工生产设施建设工程：建设粮食烘干设施8台、仓储设施2座，配套输送装置、燃气装置、装载机械等辅助设施设备7台（套）。目标3：农机装备能力提升工程：购买新型耕、种、防、收等机具不低于50台（套）。目标4： 新品种试验示范工程：展示品种数量不低于10个，示范中面积不低于50亩。通过试验、示范，筛选出1—2个适宜绵竹自然条件的弱筋小麦主导品种，1—2项高产栽培集成技术。目标5：社会化服务主体建设工程：推广小麦免耕带旋播种技术不低于10万亩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（三）项目自评步骤及方法。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一是为全面了解工作开展情况及工作成效，加强对补贴对象管理，严格监督资金使用，对补贴工作的自评。二是以实际种粮农民补贴工作的工作量、服务对象满意度、促进农业产业发展成效等为主要考核标准，对2023年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小麦产业集群</w:t>
      </w:r>
      <w:r>
        <w:rPr>
          <w:rFonts w:hint="eastAsia" w:asciiTheme="minorEastAsia" w:hAnsiTheme="minorEastAsia" w:eastAsiaTheme="minorEastAsia" w:cstheme="minorEastAsia"/>
          <w:highlight w:val="none"/>
        </w:rPr>
        <w:t>项目工作绩效考评。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_GB2312" w:hAnsi="仿宋_GB2312" w:cs="仿宋_GB231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根据《关于下达2023年省级财政衔接推进乡村振兴补助资金（巩固拓展脱贫攻坚成果和乡村任务）预算的通知》(川财农【2023】109号)文件规定，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下达</w:t>
      </w:r>
      <w:r>
        <w:rPr>
          <w:rFonts w:hint="eastAsia" w:asciiTheme="minorEastAsia" w:hAnsiTheme="minorEastAsia" w:eastAsiaTheme="minorEastAsia" w:cstheme="minorEastAsia"/>
          <w:highlight w:val="none"/>
        </w:rPr>
        <w:t>项目资金695万元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，均已申报且审议通过</w:t>
      </w:r>
      <w:r>
        <w:rPr>
          <w:rFonts w:hint="eastAsia" w:asciiTheme="minorEastAsia" w:hAnsiTheme="minorEastAsia" w:eastAsiaTheme="minorEastAsia" w:cstheme="minorEastAsia"/>
          <w:highlight w:val="none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（二）资金计划、到位及使用情况（可用表格形式反映）。</w:t>
      </w:r>
    </w:p>
    <w:p>
      <w:pPr>
        <w:jc w:val="center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绵竹市2023年小麦产业集群项目支付统计表</w:t>
      </w:r>
    </w:p>
    <w:tbl>
      <w:tblPr>
        <w:tblStyle w:val="6"/>
        <w:tblW w:w="809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2376"/>
        <w:gridCol w:w="2835"/>
        <w:gridCol w:w="851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序号</w:t>
            </w:r>
          </w:p>
        </w:tc>
        <w:tc>
          <w:tcPr>
            <w:tcW w:w="52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建设内容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资金使用情况（万元）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52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计划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已支付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1</w:t>
            </w:r>
          </w:p>
        </w:tc>
        <w:tc>
          <w:tcPr>
            <w:tcW w:w="23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核心示范基地建设工程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百亩高产技术攻关田建设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3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6万亩优良品种示范区建设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3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11个千亩示范区建设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3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小麦单产竞赛活动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3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项目测产验收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3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技术培训、观摩学习活动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3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宣传经费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初加工生产设施建设工程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农机装备能力提升工程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农机购置补贴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35.8759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新品种试验示范工程</w:t>
            </w: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社会化服务主体建设工程</w:t>
            </w:r>
          </w:p>
        </w:tc>
        <w:tc>
          <w:tcPr>
            <w:tcW w:w="28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180</w:t>
            </w: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　</w:t>
            </w:r>
          </w:p>
        </w:tc>
        <w:tc>
          <w:tcPr>
            <w:tcW w:w="2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合计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none"/>
              </w:rPr>
              <w:t>695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highlight w:val="none"/>
              </w:rPr>
              <w:t>311.3759</w:t>
            </w:r>
          </w:p>
        </w:tc>
      </w:tr>
    </w:tbl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highlight w:val="none"/>
          <w:lang w:val="en-US" w:eastAsia="zh-CN"/>
        </w:rPr>
      </w:pP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（三）项目财务管理情况。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根据项目管理要求，明确补助对象、补助标准、补助方式、实施要求和监管措施，为确保项目建设廉洁高效，特制定《绵竹市农业农村局农业项目实施管理制度》，其内容主要包括项目资金的使用和管理、严格项目招投标管理、强化项目监管、加强对项目完成情况的检查验收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该项目严格按照实施方案的进度安排有序推进工作，资金管理做到专款专用、合理合规，采取报帐制进行管理，按资金使用方案进行开支。</w:t>
      </w:r>
      <w:r>
        <w:rPr>
          <w:rFonts w:hint="eastAsia" w:asciiTheme="minorEastAsia" w:hAnsiTheme="minorEastAsia" w:eastAsiaTheme="minorEastAsia" w:cstheme="minorEastAsia"/>
          <w:highlight w:val="none"/>
          <w:lang w:val="zh-CN"/>
        </w:rPr>
        <w:t>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highlight w:val="none"/>
        </w:rPr>
      </w:pPr>
      <w:r>
        <w:rPr>
          <w:rFonts w:hint="eastAsia" w:ascii="黑体" w:hAnsi="宋体" w:eastAsia="黑体"/>
          <w:highlight w:val="none"/>
        </w:rPr>
        <w:t>三、项目实施及管理情况</w:t>
      </w:r>
    </w:p>
    <w:p>
      <w:pPr>
        <w:adjustRightInd w:val="0"/>
        <w:snapToGrid w:val="0"/>
        <w:spacing w:line="580" w:lineRule="exact"/>
        <w:ind w:firstLine="482" w:firstLineChars="150"/>
        <w:rPr>
          <w:rFonts w:ascii="楷体_GB2312" w:hAnsi="宋体" w:eastAsia="楷体_GB2312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（一）项目组织架构及实施流程。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1.项目组织架构及流程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在资金的拨付过程中，对照相关资金管理办法严格进行审核和管理，财务处理及时，会计核算和管理规范。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2.项目管理情况。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通过政府采购160万元的4个小麦品种，按照农机购置补贴的要求，完成农机装备能力提升工程补贴小麦播种机、拖拉机等设备50台套，资金35万余元。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以剑南粮油园区为核实建设1万亩核实基地、在11个镇街建设11个千亩示范方、依托绵竹市永翔家庭农场建设100亩攻关田，委托德阳市麦加小麦产业技术研发中心开展小麦低积累Cd品种筛选、高产品比试验、节本增效技术集成等示范工程建设。全市推广10万亩小麦免耕浅旋条播补贴正在组织核实面积，同其他建设项目将按方案实施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FF0000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（二）项目监管情况</w:t>
      </w:r>
      <w:r>
        <w:rPr>
          <w:rFonts w:hint="eastAsia" w:ascii="楷体_GB2312" w:hAnsi="宋体" w:eastAsia="楷体_GB2312"/>
          <w:b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制定各项管理制度，落实工作责任分工，统一项目实施行为规范。加强信息管理，使用政府网站，QQ群，微信群等方式切实保证资金公示到位，保证补贴资金公开透明，形成群众监管的长效机制。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项目通过实施核心示范基地建设工程、初加工生产设施建设工程、农机装备能力提升工程、新品种试验示范工程，推动我市弱筋小麦种植良种化、科技化、设施化、组织化、产业化“五化”升级，推进生产供应链、精深加工链、品牌价值链“三链”同构，促进集群发展、高端发展、融合发展，促进产业链延伸和一二三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产业</w:t>
      </w:r>
      <w:r>
        <w:rPr>
          <w:rFonts w:hint="eastAsia" w:asciiTheme="minorEastAsia" w:hAnsiTheme="minorEastAsia" w:eastAsiaTheme="minorEastAsia" w:cstheme="minorEastAsia"/>
          <w:highlight w:val="none"/>
        </w:rPr>
        <w:t>融合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显著提高集群项目示范区及辐射带动区经济效益、社会效益和生态效益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。</w:t>
      </w:r>
      <w:bookmarkStart w:id="0" w:name="_Toc32465"/>
      <w:bookmarkStart w:id="1" w:name="_Toc31491"/>
      <w:bookmarkStart w:id="2" w:name="_Toc16644"/>
      <w:bookmarkStart w:id="3" w:name="_Toc16535"/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highlight w:val="none"/>
        </w:rPr>
        <w:t>经济效益</w:t>
      </w:r>
      <w:bookmarkEnd w:id="0"/>
      <w:bookmarkEnd w:id="1"/>
      <w:bookmarkEnd w:id="2"/>
      <w:bookmarkEnd w:id="3"/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通过集群项目实施， 2023年项目实施区实现弱筋小麦种植面积达到19万亩，全产业链总产值5.13亿元，增加0.24亿元。其中：一产产值增加0.1亿元、二产产值增加0.14亿元。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bookmarkStart w:id="4" w:name="_Toc13874"/>
      <w:bookmarkStart w:id="5" w:name="_Toc22648"/>
      <w:bookmarkStart w:id="6" w:name="_Toc3029"/>
      <w:bookmarkStart w:id="7" w:name="_Toc22868"/>
      <w:r>
        <w:rPr>
          <w:rFonts w:hint="eastAsia" w:asciiTheme="minorEastAsia" w:hAnsiTheme="minorEastAsia" w:eastAsiaTheme="minorEastAsia" w:cstheme="minorEastAsia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highlight w:val="none"/>
        </w:rPr>
        <w:t>生态效益</w:t>
      </w:r>
      <w:bookmarkEnd w:id="4"/>
      <w:bookmarkEnd w:id="5"/>
      <w:bookmarkEnd w:id="6"/>
      <w:bookmarkEnd w:id="7"/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项目区通过弱筋小麦种植新技术的示范推广应用，可极大地提高广大农户的科学种粮水平，有利于提高农业科技成果的转化率和普及率；特别是免耕带旋播种技术、测土配方施肥技术和绿色防控技术等技术的推广应用，减少了化肥、农药的使用量，防止了水土流失，有效降低了面源污染，改善了土地生态环境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</w:rPr>
      </w:pPr>
      <w:bookmarkStart w:id="8" w:name="_Toc25813"/>
      <w:bookmarkStart w:id="9" w:name="_Toc14662"/>
      <w:bookmarkStart w:id="10" w:name="_Toc9551"/>
      <w:bookmarkStart w:id="11" w:name="_Toc30637"/>
      <w:r>
        <w:rPr>
          <w:rFonts w:hint="eastAsia" w:asciiTheme="minorEastAsia" w:hAnsiTheme="minorEastAsia" w:eastAsiaTheme="minorEastAsia" w:cstheme="minorEastAsia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highlight w:val="none"/>
        </w:rPr>
        <w:t>社会效益</w:t>
      </w:r>
      <w:bookmarkEnd w:id="8"/>
      <w:bookmarkEnd w:id="9"/>
      <w:bookmarkEnd w:id="10"/>
      <w:bookmarkEnd w:id="11"/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通过项目建设，不仅使项目区农户、规模经营主体能显著增产增收，而且辐射带动了周边农户（脱贫户）种植发展弱筋小麦，扩大了弱筋小麦种植面积，增加了弱筋小麦产能，激发了农户种植积极性，培养了一批基层农业技术骨干和新型农民，提升了广大农户的科学种植弱筋小麦技能和种植技术水平，增强了粮食安全保障能力，对繁荣农村经济、保障国家粮食安全作出了重大贡献。通过项目实施后，带动农民增收就业数量达0.3万人，农民人均可支配收入达到26512元，增加772元。通过建立“主体+基地+农户（规模经营主体）”的模式，探索开展订单农业发展，实现多方共赢，进一步密切党群关系、干群关系和政企关系，促进农村社会和谐稳定，利于助推宜居宜业和美乡村建设，社会效益突出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highlight w:val="none"/>
        </w:rPr>
      </w:pPr>
      <w:r>
        <w:rPr>
          <w:rFonts w:hint="eastAsia" w:ascii="黑体" w:hAnsi="宋体" w:eastAsia="黑体"/>
          <w:highlight w:val="none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（一）评价结论。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t>我中心通过推进项目实施措施，扎实抓好衔接资金预算执行。2023年我中心共收到衔接推进乡村振兴补助资金695万元，由于受农时季节的影响实现支出311.3759万元，其余资金按方案及时支付</w:t>
      </w: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。</w:t>
      </w:r>
    </w:p>
    <w:p>
      <w:pPr>
        <w:widowControl/>
        <w:spacing w:line="520" w:lineRule="exact"/>
        <w:ind w:firstLine="643" w:firstLineChars="20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（二）存在的问题。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rFonts w:hint="eastAsia" w:asciiTheme="minorEastAsia" w:hAnsiTheme="minorEastAsia" w:eastAsiaTheme="minorEastAsia" w:cstheme="minorEastAsia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（三）相关建议。</w:t>
      </w:r>
    </w:p>
    <w:p>
      <w:pPr>
        <w:overflowPunct w:val="0"/>
        <w:adjustRightInd w:val="0"/>
        <w:snapToGrid w:val="0"/>
        <w:spacing w:line="620" w:lineRule="exact"/>
        <w:ind w:firstLine="640" w:firstLineChars="200"/>
        <w:rPr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  <w:lang w:eastAsia="zh-CN"/>
        </w:rPr>
        <w:t>无</w:t>
      </w:r>
    </w:p>
    <w:p>
      <w:pPr>
        <w:adjustRightInd w:val="0"/>
        <w:snapToGrid w:val="0"/>
        <w:spacing w:line="580" w:lineRule="exact"/>
        <w:rPr>
          <w:rFonts w:ascii="楷体_GB2312" w:hAnsi="宋体" w:eastAsia="楷体_GB2312"/>
          <w:highlight w:val="none"/>
          <w:lang w:val="zh-CN"/>
        </w:rPr>
      </w:pPr>
    </w:p>
    <w:p>
      <w:pPr>
        <w:overflowPunct w:val="0"/>
        <w:adjustRightInd w:val="0"/>
        <w:snapToGrid w:val="0"/>
        <w:spacing w:line="620" w:lineRule="exact"/>
        <w:ind w:firstLine="640" w:firstLineChars="200"/>
        <w:jc w:val="right"/>
        <w:rPr>
          <w:highlight w:val="none"/>
          <w:lang w:val="zh-CN"/>
        </w:rPr>
      </w:pPr>
      <w:r>
        <w:rPr>
          <w:highlight w:val="none"/>
          <w:lang w:val="zh-CN"/>
        </w:rPr>
        <w:t>202</w:t>
      </w:r>
      <w:r>
        <w:rPr>
          <w:rFonts w:hint="eastAsia"/>
          <w:highlight w:val="none"/>
          <w:lang w:val="zh-CN"/>
        </w:rPr>
        <w:t>4年1月8日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2126D6-1456-43D5-B159-A57F2A9564C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9FFE21F-2AB6-4D7E-B346-26DE3EA8A0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2C8745A-17F7-4D77-A1F7-84AC378B6CD3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E466898D-7A05-41B6-B5F1-3B84350885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A577A44-516F-43DA-AD45-9A3C40288BF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D1D048ED-F8FD-4DF4-ACCC-6E7839271B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10832"/>
    <w:rsid w:val="004C56C7"/>
    <w:rsid w:val="005E48E2"/>
    <w:rsid w:val="007F22F6"/>
    <w:rsid w:val="00B05294"/>
    <w:rsid w:val="00C86062"/>
    <w:rsid w:val="00D23384"/>
    <w:rsid w:val="00F10832"/>
    <w:rsid w:val="00F25234"/>
    <w:rsid w:val="1317740E"/>
    <w:rsid w:val="3CEA6EF9"/>
    <w:rsid w:val="3FBE7F20"/>
    <w:rsid w:val="5549519E"/>
    <w:rsid w:val="5C7A3925"/>
    <w:rsid w:val="6631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</w:style>
  <w:style w:type="paragraph" w:styleId="3">
    <w:name w:val="Normal Indent"/>
    <w:basedOn w:val="1"/>
    <w:uiPriority w:val="0"/>
    <w:pPr>
      <w:ind w:firstLine="680"/>
    </w:pPr>
    <w:rPr>
      <w:rFonts w:ascii="Calibri" w:hAnsi="Calibri" w:eastAsia="宋体" w:cs="Times New Roman"/>
      <w:sz w:val="32"/>
      <w:szCs w:val="32"/>
    </w:rPr>
  </w:style>
  <w:style w:type="paragraph" w:styleId="4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paragraph" w:customStyle="1" w:styleId="10">
    <w:name w:val="四号正文"/>
    <w:basedOn w:val="1"/>
    <w:link w:val="11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1"/>
      <w:szCs w:val="20"/>
    </w:rPr>
  </w:style>
  <w:style w:type="character" w:customStyle="1" w:styleId="11">
    <w:name w:val="四号正文 Char"/>
    <w:link w:val="10"/>
    <w:autoRedefine/>
    <w:qFormat/>
    <w:locked/>
    <w:uiPriority w:val="99"/>
    <w:rPr>
      <w:rFonts w:ascii="??" w:hAnsi="??" w:eastAsia="宋体" w:cs="Times New Roman"/>
      <w:color w:val="00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401</Words>
  <Characters>2287</Characters>
  <Lines>19</Lines>
  <Paragraphs>5</Paragraphs>
  <TotalTime>0</TotalTime>
  <ScaleCrop>false</ScaleCrop>
  <LinksUpToDate>false</LinksUpToDate>
  <CharactersWithSpaces>2683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2024-01-08T09:33:00Z</dcterms:created>
  <dc:creator>hp</dc:creator>
  <cp:lastModifiedBy>幻</cp:lastModifiedBy>
  <dcterms:modified xsi:type="dcterms:W3CDTF">2024-01-15T07:27:55Z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C97424FA26604E1A8893AFB09438C5D7_13</vt:lpwstr>
  </property>
</Properties>
</file>