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80" w:lineRule="exact"/>
        <w:jc w:val="center"/>
        <w:rPr>
          <w:rFonts w:ascii="方正小标宋简体" w:eastAsia="方正小标宋简体"/>
          <w:sz w:val="44"/>
          <w:szCs w:val="44"/>
        </w:rPr>
      </w:pPr>
      <w:r>
        <w:rPr>
          <w:rFonts w:hint="eastAsia" w:ascii="方正小标宋简体" w:eastAsia="方正小标宋简体"/>
          <w:sz w:val="44"/>
          <w:szCs w:val="44"/>
        </w:rPr>
        <w:t>项目支出绩效自评报告</w:t>
      </w:r>
    </w:p>
    <w:p>
      <w:pPr>
        <w:adjustRightInd w:val="0"/>
        <w:snapToGrid w:val="0"/>
        <w:spacing w:line="580" w:lineRule="exact"/>
        <w:ind w:firstLine="720"/>
        <w:jc w:val="center"/>
        <w:rPr>
          <w:rFonts w:hint="eastAsia" w:ascii="仿宋_GB2312" w:hAnsi="宋体"/>
        </w:rPr>
      </w:pPr>
      <w:r>
        <w:rPr>
          <w:rFonts w:hint="eastAsia" w:ascii="仿宋_GB2312" w:hAnsi="宋体"/>
        </w:rPr>
        <w:t>2023年省级财政农业高质量发展共同财政事权转移支付资金（第五批、第六批）种粮大户补贴</w:t>
      </w:r>
    </w:p>
    <w:p>
      <w:pPr>
        <w:adjustRightInd w:val="0"/>
        <w:snapToGrid w:val="0"/>
        <w:spacing w:line="580" w:lineRule="exact"/>
        <w:ind w:firstLine="720"/>
        <w:jc w:val="center"/>
        <w:rPr>
          <w:rFonts w:hint="eastAsia" w:ascii="仿宋_GB2312" w:hAnsi="宋体"/>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ascii="楷体_GB2312" w:hAnsi="宋体" w:eastAsia="楷体_GB2312"/>
          <w:b/>
          <w:lang w:val="zh-CN"/>
        </w:rPr>
      </w:pPr>
      <w:r>
        <w:rPr>
          <w:rFonts w:hint="eastAsia"/>
        </w:rPr>
        <w:t>为培育和发展我市种粮大户，促进全市粮食生产规模化发展，不断提高粮食产业化发展水平，努力实现粮食增产，确保粮食安全。根据相关文件要求，制定了实施方案。按方案要求进行补贴申报、核实以及发放。</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hint="eastAsia"/>
        </w:rPr>
      </w:pPr>
      <w:r>
        <w:rPr>
          <w:rFonts w:hint="eastAsia"/>
        </w:rPr>
        <w:t>按方案要求，发放2023年种粮大户补贴资金1747.88万元。</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720"/>
        <w:rPr>
          <w:rFonts w:hint="eastAsia" w:asciiTheme="minorEastAsia" w:hAnsiTheme="minorEastAsia" w:eastAsiaTheme="minorEastAsia" w:cstheme="minorEastAsia"/>
          <w:sz w:val="28"/>
          <w:lang w:val="zh-CN"/>
        </w:rPr>
      </w:pPr>
      <w:r>
        <w:rPr>
          <w:rFonts w:hint="eastAsia" w:asciiTheme="minorEastAsia" w:hAnsiTheme="minorEastAsia" w:eastAsiaTheme="minorEastAsia" w:cstheme="minorEastAsia"/>
          <w:sz w:val="28"/>
          <w:lang w:val="zh-CN"/>
        </w:rPr>
        <w:t>根据《四川省财政厅 四川省农业农村厅关于下达2023年省级财政农业高质量发展共同财政事权转移支付资金（第五批、第六批）的通知》要求，2023年种粮大户补贴资金为1847.88万元，</w:t>
      </w:r>
      <w:r>
        <w:rPr>
          <w:rFonts w:hint="eastAsia" w:asciiTheme="minorEastAsia" w:hAnsiTheme="minorEastAsia" w:eastAsiaTheme="minorEastAsia" w:cstheme="minorEastAsia"/>
          <w:sz w:val="28"/>
          <w:lang w:val="zh-CN" w:eastAsia="zh-CN"/>
        </w:rPr>
        <w:t>均已申报且审议通过</w:t>
      </w:r>
      <w:r>
        <w:rPr>
          <w:rFonts w:hint="eastAsia" w:asciiTheme="minorEastAsia" w:hAnsiTheme="minorEastAsia" w:eastAsiaTheme="minorEastAsia" w:cstheme="minorEastAsia"/>
          <w:sz w:val="28"/>
          <w:lang w:val="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（二）资金计划、到位及使用情况（可用表格形式反映）。</w:t>
      </w:r>
    </w:p>
    <w:p>
      <w:pPr>
        <w:numPr>
          <w:ilvl w:val="0"/>
          <w:numId w:val="1"/>
        </w:numPr>
        <w:adjustRightInd w:val="0"/>
        <w:snapToGrid w:val="0"/>
        <w:spacing w:line="580" w:lineRule="exact"/>
        <w:ind w:firstLine="72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资金计划。2023年省级财政农业高质量发展共同财政事权转移支付资金（第五批、第六批）1847.88万元。</w:t>
      </w:r>
    </w:p>
    <w:p>
      <w:pPr>
        <w:numPr>
          <w:ilvl w:val="0"/>
          <w:numId w:val="1"/>
        </w:numPr>
        <w:adjustRightInd w:val="0"/>
        <w:snapToGrid w:val="0"/>
        <w:spacing w:line="580" w:lineRule="exact"/>
        <w:ind w:firstLine="720"/>
        <w:rPr>
          <w:rFonts w:hint="eastAsia" w:asciiTheme="minorEastAsia" w:hAnsiTheme="minorEastAsia" w:eastAsiaTheme="minorEastAsia" w:cstheme="minorEastAsia"/>
          <w:sz w:val="28"/>
          <w:szCs w:val="28"/>
          <w:lang w:val="zh-CN"/>
        </w:rPr>
      </w:pPr>
      <w:r>
        <w:rPr>
          <w:rFonts w:hint="eastAsia" w:ascii="仿宋_GB2312" w:hAnsi="宋体"/>
          <w:sz w:val="28"/>
          <w:szCs w:val="28"/>
          <w:lang w:val="zh-CN"/>
        </w:rPr>
        <w:t>资金到位。</w:t>
      </w:r>
      <w:r>
        <w:rPr>
          <w:rFonts w:hint="eastAsia" w:asciiTheme="minorEastAsia" w:hAnsiTheme="minorEastAsia" w:eastAsiaTheme="minorEastAsia" w:cstheme="minorEastAsia"/>
          <w:sz w:val="28"/>
          <w:szCs w:val="28"/>
          <w:lang w:val="zh-CN"/>
        </w:rPr>
        <w:t>资金在</w:t>
      </w:r>
      <w:r>
        <w:rPr>
          <w:rFonts w:hint="eastAsia" w:asciiTheme="minorEastAsia" w:hAnsiTheme="minorEastAsia" w:eastAsiaTheme="minorEastAsia" w:cstheme="minorEastAsia"/>
          <w:sz w:val="28"/>
          <w:szCs w:val="28"/>
        </w:rPr>
        <w:t>2024</w:t>
      </w:r>
      <w:r>
        <w:rPr>
          <w:rFonts w:hint="eastAsia" w:asciiTheme="minorEastAsia" w:hAnsiTheme="minorEastAsia" w:eastAsiaTheme="minorEastAsia" w:cstheme="minorEastAsia"/>
          <w:sz w:val="28"/>
          <w:szCs w:val="28"/>
          <w:lang w:val="zh-CN"/>
        </w:rPr>
        <w:t>年1月拨付到位。</w:t>
      </w:r>
    </w:p>
    <w:p>
      <w:pPr>
        <w:numPr>
          <w:ilvl w:val="0"/>
          <w:numId w:val="1"/>
        </w:numPr>
        <w:ind w:left="0" w:leftChars="0" w:firstLine="720" w:firstLineChars="0"/>
        <w:rPr>
          <w:rFonts w:hint="eastAsia" w:ascii="楷体_GB2312" w:hAnsi="宋体" w:eastAsia="楷体_GB2312"/>
          <w:b/>
          <w:sz w:val="28"/>
          <w:szCs w:val="28"/>
          <w:lang w:val="zh-CN"/>
        </w:rPr>
      </w:pPr>
      <w:r>
        <w:rPr>
          <w:rFonts w:hint="eastAsia" w:asciiTheme="minorEastAsia" w:hAnsiTheme="minorEastAsia" w:eastAsiaTheme="minorEastAsia" w:cstheme="minorEastAsia"/>
          <w:sz w:val="28"/>
          <w:szCs w:val="28"/>
          <w:lang w:val="zh-CN"/>
        </w:rPr>
        <w:t>资金使用。</w:t>
      </w:r>
      <w:r>
        <w:rPr>
          <w:rFonts w:hint="eastAsia" w:ascii="仿宋_GB2312" w:hAnsi="宋体"/>
          <w:sz w:val="28"/>
          <w:szCs w:val="28"/>
          <w:lang w:val="zh-CN"/>
        </w:rPr>
        <w:t>资金严格按照要求，验收通过后，进行支付。</w:t>
      </w:r>
    </w:p>
    <w:p>
      <w:pPr>
        <w:ind w:firstLine="643" w:firstLineChars="200"/>
      </w:pPr>
      <w:r>
        <w:rPr>
          <w:rFonts w:hint="eastAsia" w:ascii="楷体_GB2312" w:hAnsi="宋体" w:eastAsia="楷体_GB2312"/>
          <w:b/>
          <w:lang w:val="zh-CN"/>
        </w:rPr>
        <w:t>（三）项目财务管理情况。</w:t>
      </w:r>
    </w:p>
    <w:p>
      <w:pPr>
        <w:widowControl/>
        <w:spacing w:line="520" w:lineRule="exact"/>
        <w:ind w:firstLine="560" w:firstLineChars="200"/>
        <w:rPr>
          <w:rFonts w:ascii="仿宋_GB2312" w:hAnsi="仿宋_GB2312" w:cs="仿宋_GB2312"/>
          <w:sz w:val="28"/>
          <w:szCs w:val="28"/>
        </w:rPr>
      </w:pPr>
      <w:r>
        <w:rPr>
          <w:rFonts w:hint="eastAsia" w:ascii="仿宋_GB2312" w:hAnsi="仿宋_GB2312" w:cs="仿宋_GB2312"/>
          <w:sz w:val="28"/>
          <w:szCs w:val="28"/>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基层农技推广体系改革与建设项目资金的使用和管理按制度执行。</w:t>
      </w:r>
    </w:p>
    <w:p>
      <w:pPr>
        <w:widowControl/>
        <w:spacing w:line="520" w:lineRule="exact"/>
        <w:ind w:firstLine="560" w:firstLineChars="200"/>
        <w:rPr>
          <w:rFonts w:ascii="仿宋_GB2312" w:hAnsi="仿宋_GB2312" w:cs="仿宋_GB2312"/>
          <w:sz w:val="28"/>
          <w:szCs w:val="28"/>
          <w:lang w:val="zh-CN"/>
        </w:rPr>
      </w:pPr>
      <w:r>
        <w:rPr>
          <w:rFonts w:hint="eastAsia" w:ascii="仿宋_GB2312" w:hAnsi="仿宋_GB2312" w:cs="仿宋_GB2312"/>
          <w:sz w:val="28"/>
          <w:szCs w:val="28"/>
        </w:rPr>
        <w:t>该项目严格按照实施方案的进度安排有序推进工作，资金管理做到专款专用、合理合规，采取报帐制进行管理，按资金使用方案进行开支。</w:t>
      </w:r>
      <w:r>
        <w:rPr>
          <w:rFonts w:hint="eastAsia" w:ascii="仿宋_GB2312" w:hAnsi="仿宋_GB2312" w:cs="仿宋_GB2312"/>
          <w:sz w:val="28"/>
          <w:szCs w:val="28"/>
          <w:lang w:val="zh-CN"/>
        </w:rPr>
        <w:t>财务管理制度健全，严格执行财务管理制度，账务处理及时，会计核算规范。</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widowControl/>
        <w:spacing w:line="520" w:lineRule="exact"/>
        <w:ind w:firstLine="560" w:firstLineChars="200"/>
        <w:rPr>
          <w:rFonts w:hint="eastAsia" w:ascii="仿宋_GB2312" w:hAnsi="仿宋_GB2312" w:cs="仿宋_GB2312"/>
          <w:sz w:val="28"/>
          <w:szCs w:val="28"/>
          <w:lang w:val="zh-CN"/>
        </w:rPr>
      </w:pPr>
      <w:r>
        <w:rPr>
          <w:rFonts w:hint="eastAsia" w:ascii="仿宋_GB2312" w:hAnsi="仿宋_GB2312" w:cs="仿宋_GB2312"/>
          <w:sz w:val="28"/>
          <w:szCs w:val="28"/>
          <w:lang w:val="zh-CN"/>
        </w:rPr>
        <w:t>总体评价该项目实施期间严格执行财务管理制度，账务处理及时，核算规范。</w:t>
      </w:r>
    </w:p>
    <w:p>
      <w:pPr>
        <w:adjustRightInd w:val="0"/>
        <w:snapToGrid w:val="0"/>
        <w:spacing w:line="580" w:lineRule="exact"/>
        <w:ind w:firstLine="720"/>
        <w:rPr>
          <w:rFonts w:ascii="楷体_GB2312" w:hAnsi="宋体" w:eastAsia="楷体_GB2312"/>
          <w:b/>
          <w:color w:val="000000" w:themeColor="text1"/>
          <w:lang w:val="zh-CN"/>
        </w:rPr>
      </w:pPr>
      <w:r>
        <w:rPr>
          <w:rFonts w:hint="eastAsia" w:ascii="楷体_GB2312" w:hAnsi="宋体" w:eastAsia="楷体_GB2312"/>
          <w:b/>
          <w:lang w:val="zh-CN"/>
        </w:rPr>
        <w:t>（</w:t>
      </w:r>
      <w:r>
        <w:rPr>
          <w:rFonts w:hint="eastAsia" w:ascii="楷体_GB2312" w:hAnsi="宋体" w:eastAsia="楷体_GB2312"/>
          <w:b/>
          <w:color w:val="000000" w:themeColor="text1"/>
          <w:lang w:val="zh-CN"/>
        </w:rPr>
        <w:t>一）项目组织架构及实施流程。</w:t>
      </w:r>
    </w:p>
    <w:p>
      <w:pPr>
        <w:adjustRightInd w:val="0"/>
        <w:snapToGrid w:val="0"/>
        <w:spacing w:line="580" w:lineRule="exact"/>
        <w:ind w:firstLine="720"/>
        <w:rPr>
          <w:rFonts w:ascii="楷体_GB2312" w:hAnsi="宋体" w:eastAsia="楷体_GB2312"/>
          <w:color w:val="000000" w:themeColor="text1"/>
          <w:lang w:val="zh-CN"/>
        </w:rPr>
      </w:pPr>
      <w:r>
        <w:rPr>
          <w:rFonts w:hint="eastAsia" w:ascii="楷体_GB2312" w:hAnsi="宋体" w:eastAsia="楷体_GB2312"/>
          <w:b/>
          <w:color w:val="000000" w:themeColor="text1"/>
          <w:lang w:val="zh-CN"/>
        </w:rPr>
        <w:t>1.项目组织架构及流程</w:t>
      </w:r>
    </w:p>
    <w:p>
      <w:pPr>
        <w:widowControl/>
        <w:spacing w:line="520" w:lineRule="exact"/>
        <w:ind w:firstLine="560" w:firstLineChars="200"/>
        <w:rPr>
          <w:rFonts w:hint="eastAsia" w:ascii="仿宋_GB2312" w:hAnsi="仿宋_GB2312" w:cs="仿宋_GB2312"/>
          <w:sz w:val="28"/>
          <w:szCs w:val="28"/>
          <w:lang w:val="zh-CN"/>
        </w:rPr>
      </w:pPr>
      <w:r>
        <w:rPr>
          <w:rFonts w:hint="eastAsia" w:ascii="仿宋_GB2312" w:hAnsi="仿宋_GB2312" w:cs="仿宋_GB2312"/>
          <w:sz w:val="28"/>
          <w:szCs w:val="28"/>
          <w:lang w:val="zh-CN"/>
        </w:rPr>
        <w:t>流程：由农户申报，村镇初步核实，农业农村局汇总再结合水稻目标价格补贴面积，当年水稻育秧面积等进行核实后，在政府网站和种粮食大户QQ群和绵竹市体系推广QQ群中公示补贴面积和补贴资金，无异议后通过德阳市惠民惠农财政补贴项目资格审批基础支撑平台进行申报，通过德阳市惠民惠农财政补贴资金“一卡通”监管服务平台进行发放。</w:t>
      </w:r>
    </w:p>
    <w:p>
      <w:pPr>
        <w:widowControl/>
        <w:spacing w:line="520" w:lineRule="exact"/>
        <w:ind w:firstLine="643" w:firstLineChars="200"/>
        <w:rPr>
          <w:rFonts w:hint="eastAsia" w:ascii="仿宋_GB2312" w:hAnsi="仿宋_GB2312" w:cs="仿宋_GB2312"/>
          <w:sz w:val="28"/>
          <w:szCs w:val="28"/>
          <w:lang w:val="zh-CN"/>
        </w:rPr>
      </w:pPr>
      <w:r>
        <w:rPr>
          <w:rFonts w:hint="eastAsia" w:ascii="楷体_GB2312" w:hAnsi="宋体" w:eastAsia="楷体_GB2312"/>
          <w:b/>
          <w:lang w:val="zh-CN"/>
        </w:rPr>
        <w:t>（二）项目管理情况。</w:t>
      </w:r>
      <w:r>
        <w:rPr>
          <w:rFonts w:hint="eastAsia" w:ascii="仿宋_GB2312" w:hAnsi="仿宋_GB2312" w:cs="仿宋_GB2312"/>
          <w:sz w:val="28"/>
          <w:szCs w:val="28"/>
          <w:lang w:val="zh-CN"/>
        </w:rPr>
        <w:t>结合项目特点，总体评价各项目实施单位执行相关法律法规及项目管理制度等情况，如招投标、政府采购、项目公示制等相关规定。</w:t>
      </w:r>
    </w:p>
    <w:p>
      <w:pPr>
        <w:widowControl/>
        <w:spacing w:line="520" w:lineRule="exact"/>
        <w:ind w:firstLine="560" w:firstLineChars="200"/>
        <w:rPr>
          <w:rFonts w:hint="eastAsia" w:ascii="仿宋_GB2312" w:hAnsi="仿宋_GB2312" w:cs="仿宋_GB2312"/>
          <w:sz w:val="28"/>
          <w:szCs w:val="28"/>
          <w:lang w:val="zh-CN"/>
        </w:rPr>
      </w:pPr>
      <w:r>
        <w:rPr>
          <w:rFonts w:hint="eastAsia" w:ascii="仿宋_GB2312" w:hAnsi="仿宋_GB2312" w:cs="仿宋_GB2312"/>
          <w:sz w:val="28"/>
          <w:szCs w:val="28"/>
          <w:lang w:val="zh-CN"/>
        </w:rPr>
        <w:t>实行补贴面积和补贴资金公示制。</w:t>
      </w:r>
    </w:p>
    <w:p>
      <w:pPr>
        <w:adjustRightInd w:val="0"/>
        <w:snapToGrid w:val="0"/>
        <w:spacing w:line="580" w:lineRule="exact"/>
        <w:ind w:firstLine="720"/>
        <w:rPr>
          <w:rFonts w:ascii="仿宋_GB2312" w:hAnsi="宋体"/>
          <w:color w:val="FF0000"/>
          <w:lang w:val="zh-CN"/>
        </w:rPr>
      </w:pPr>
      <w:r>
        <w:rPr>
          <w:rFonts w:hint="eastAsia" w:ascii="楷体_GB2312" w:hAnsi="宋体" w:eastAsia="楷体_GB2312"/>
          <w:b/>
          <w:lang w:val="zh-CN"/>
        </w:rPr>
        <w:t>（三）项目监管情况</w:t>
      </w:r>
      <w:r>
        <w:rPr>
          <w:rFonts w:hint="eastAsia" w:ascii="楷体_GB2312" w:hAnsi="宋体" w:eastAsia="楷体_GB2312"/>
          <w:b/>
          <w:color w:val="000000" w:themeColor="text1"/>
          <w:lang w:val="zh-CN"/>
        </w:rPr>
        <w:t>。</w:t>
      </w:r>
    </w:p>
    <w:p>
      <w:pPr>
        <w:widowControl/>
        <w:spacing w:line="520" w:lineRule="exact"/>
        <w:ind w:firstLine="560" w:firstLineChars="200"/>
        <w:rPr>
          <w:rFonts w:hint="eastAsia" w:ascii="仿宋_GB2312" w:hAnsi="仿宋_GB2312" w:cs="仿宋_GB2312"/>
          <w:sz w:val="28"/>
          <w:szCs w:val="28"/>
          <w:lang w:val="zh-CN"/>
        </w:rPr>
      </w:pPr>
      <w:r>
        <w:rPr>
          <w:rFonts w:hint="eastAsia" w:ascii="仿宋_GB2312" w:hAnsi="仿宋_GB2312" w:cs="仿宋_GB2312"/>
          <w:sz w:val="28"/>
          <w:szCs w:val="28"/>
          <w:lang w:val="zh-CN"/>
        </w:rPr>
        <w:t>一是制定各项管理制度，落实工作责任分工，统一项目实施行为规范。二是通过德阳市惠民惠农财政补贴项目资格审批基础支撑平台进行申报、德阳市惠民惠农财政补贴资金“一卡通”监管服务平台严格落实补贴资金，确保补贴资金发放到农户手中。三是加强监督管理，镇（街道）加强补贴农户的资格审查，确保政策宣传落实到位。四是加强信息管理，使用政府网站，QQ群，微信群等方式切实保证种粮大户补贴的资金公示到位，保证补贴资金公开透明，形成群众监管的长效机制。</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（一）项目完成情况。</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补贴面积申报审核、资金公示已完成，预计2024年1月份完成补贴发放。</w:t>
      </w:r>
    </w:p>
    <w:p>
      <w:pPr>
        <w:adjustRightInd w:val="0"/>
        <w:snapToGrid w:val="0"/>
        <w:spacing w:line="580" w:lineRule="exact"/>
        <w:ind w:firstLine="720"/>
        <w:rPr>
          <w:rFonts w:ascii="楷体_GB2312" w:hAnsi="宋体" w:eastAsia="楷体_GB2312"/>
          <w:b/>
          <w:color w:val="000000" w:themeColor="text1"/>
          <w:lang w:val="zh-CN"/>
        </w:rPr>
      </w:pPr>
      <w:r>
        <w:rPr>
          <w:rFonts w:hint="eastAsia" w:ascii="楷体_GB2312" w:hAnsi="宋体" w:eastAsia="楷体_GB2312"/>
          <w:b/>
          <w:color w:val="000000" w:themeColor="text1"/>
          <w:lang w:val="zh-CN"/>
        </w:rPr>
        <w:t>（二）项目效益情况。</w:t>
      </w:r>
    </w:p>
    <w:p>
      <w:pPr>
        <w:widowControl/>
        <w:spacing w:line="520" w:lineRule="exact"/>
        <w:ind w:firstLine="560" w:firstLineChars="200"/>
        <w:rPr>
          <w:rFonts w:hint="eastAsia" w:ascii="仿宋_GB2312" w:hAnsi="仿宋_GB2312" w:cs="仿宋_GB2312"/>
          <w:sz w:val="28"/>
          <w:szCs w:val="28"/>
          <w:lang w:val="zh-CN" w:eastAsia="zh-CN"/>
        </w:rPr>
      </w:pPr>
      <w:r>
        <w:rPr>
          <w:rFonts w:hint="eastAsia" w:ascii="仿宋_GB2312" w:hAnsi="仿宋_GB2312" w:cs="仿宋_GB2312"/>
          <w:sz w:val="28"/>
          <w:szCs w:val="28"/>
          <w:lang w:val="zh-CN"/>
        </w:rPr>
        <w:t>项目还在实施中，确保带动农民增收、农业增效，农民满意度达90%以上</w:t>
      </w:r>
      <w:r>
        <w:rPr>
          <w:rFonts w:hint="eastAsia" w:ascii="仿宋_GB2312" w:hAnsi="仿宋_GB2312" w:cs="仿宋_GB2312"/>
          <w:sz w:val="28"/>
          <w:szCs w:val="28"/>
          <w:lang w:val="zh-CN" w:eastAsia="zh-CN"/>
        </w:rPr>
        <w:t>。</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widowControl/>
        <w:spacing w:line="520" w:lineRule="exact"/>
        <w:ind w:firstLine="560" w:firstLineChars="200"/>
        <w:rPr>
          <w:rFonts w:hint="eastAsia" w:ascii="仿宋_GB2312" w:hAnsi="仿宋_GB2312" w:cs="仿宋_GB2312"/>
          <w:sz w:val="28"/>
          <w:szCs w:val="28"/>
          <w:lang w:val="zh-CN"/>
        </w:rPr>
      </w:pPr>
      <w:r>
        <w:rPr>
          <w:rFonts w:hint="eastAsia" w:ascii="仿宋_GB2312" w:hAnsi="仿宋_GB2312" w:cs="仿宋_GB2312"/>
          <w:sz w:val="28"/>
          <w:szCs w:val="28"/>
          <w:lang w:val="zh-CN"/>
        </w:rPr>
        <w:t>本项目支出绩效自评98分。通过种粮大户补贴项目，引导绵竹市适度规模经营水平稳步提高，实现种粮大户现金收入，带动农民增收、农业增效使补贴对象的满意程度大于90%。</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1、申报系统有待完善</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一是种植户在不同镇街道流转土地不能实现合并，二是区县相邻的种植户在不同区县之间流转土地，出现重复领取补贴的情况，建设进行系统完善。</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2、镇村组工作人员积极性不高</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由于该项工作强度大，涉及农户多，需要村组人员下乡走访，但此项工作没有工作经费，村组工作人员核查积极性不高，导致核查第一关力度不够，为申报者多报、谎报、瞒报提供了可乘之机。</w:t>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3、缺乏高效的核查机制</w:t>
      </w:r>
      <w:r>
        <w:rPr>
          <w:rFonts w:hint="eastAsia" w:asciiTheme="minorEastAsia" w:hAnsiTheme="minorEastAsia" w:eastAsiaTheme="minorEastAsia" w:cstheme="minorEastAsia"/>
          <w:sz w:val="28"/>
          <w:szCs w:val="28"/>
          <w:lang w:val="zh-CN"/>
        </w:rPr>
        <w:tab/>
      </w:r>
    </w:p>
    <w:p>
      <w:pPr>
        <w:widowControl/>
        <w:spacing w:line="520" w:lineRule="exact"/>
        <w:ind w:firstLine="560" w:firstLineChars="200"/>
        <w:rPr>
          <w:rFonts w:hint="eastAsia" w:asciiTheme="minorEastAsia" w:hAnsiTheme="minorEastAsia" w:eastAsiaTheme="minorEastAsia" w:cstheme="minorEastAsia"/>
          <w:sz w:val="28"/>
          <w:szCs w:val="28"/>
          <w:lang w:val="zh-CN"/>
        </w:rPr>
      </w:pPr>
      <w:r>
        <w:rPr>
          <w:rFonts w:hint="eastAsia" w:asciiTheme="minorEastAsia" w:hAnsiTheme="minorEastAsia" w:eastAsiaTheme="minorEastAsia" w:cstheme="minorEastAsia"/>
          <w:sz w:val="28"/>
          <w:szCs w:val="28"/>
          <w:lang w:val="zh-CN"/>
        </w:rPr>
        <w:t>此项工作市农业农村局和镇（街道）投入了大量的人力、物力开展核查工作，同时，核查时间与作物生长季节不一致（核查时间相对滞后），但是由于近几年种植规模化增长迅速、变化快，有的种植户用业主姓名、有的用家人信息，对核实工作带来不少影响，增加工作量，降低工作效率，严重影响项目的推进度。</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adjustRightInd w:val="0"/>
        <w:snapToGrid w:val="0"/>
        <w:spacing w:line="580" w:lineRule="exact"/>
        <w:ind w:firstLine="720"/>
        <w:rPr>
          <w:sz w:val="28"/>
          <w:szCs w:val="28"/>
        </w:rPr>
      </w:pPr>
      <w:r>
        <w:rPr>
          <w:rFonts w:hint="eastAsia" w:eastAsia="楷体_GB2312"/>
          <w:sz w:val="28"/>
          <w:szCs w:val="28"/>
          <w:lang w:val="en-US" w:eastAsia="zh-CN"/>
        </w:rPr>
        <w:t>1</w:t>
      </w:r>
      <w:r>
        <w:rPr>
          <w:rFonts w:eastAsia="楷体_GB2312"/>
          <w:sz w:val="28"/>
          <w:szCs w:val="28"/>
          <w:lang w:val="zh-CN"/>
        </w:rPr>
        <w:t>、</w:t>
      </w:r>
      <w:r>
        <w:rPr>
          <w:rFonts w:hint="eastAsia" w:asciiTheme="minorEastAsia" w:hAnsiTheme="minorEastAsia" w:eastAsiaTheme="minorEastAsia" w:cstheme="minorEastAsia"/>
          <w:sz w:val="28"/>
          <w:szCs w:val="28"/>
          <w:lang w:val="zh-CN"/>
        </w:rPr>
        <w:t>建议全</w:t>
      </w:r>
      <w:r>
        <w:rPr>
          <w:sz w:val="28"/>
          <w:szCs w:val="28"/>
        </w:rPr>
        <w:t>省确定补贴对象和标准，资金或方案尽早下发。</w:t>
      </w:r>
    </w:p>
    <w:p>
      <w:pPr>
        <w:adjustRightInd w:val="0"/>
        <w:snapToGrid w:val="0"/>
        <w:spacing w:line="580" w:lineRule="exact"/>
        <w:ind w:firstLine="720"/>
        <w:rPr>
          <w:sz w:val="28"/>
          <w:szCs w:val="28"/>
        </w:rPr>
      </w:pPr>
      <w:r>
        <w:rPr>
          <w:rFonts w:hint="eastAsia"/>
          <w:sz w:val="28"/>
          <w:szCs w:val="28"/>
          <w:lang w:val="en-US" w:eastAsia="zh-CN"/>
        </w:rPr>
        <w:t>2</w:t>
      </w:r>
      <w:r>
        <w:rPr>
          <w:sz w:val="28"/>
          <w:szCs w:val="28"/>
        </w:rPr>
        <w:t>、</w:t>
      </w:r>
      <w:r>
        <w:rPr>
          <w:rFonts w:hint="eastAsia"/>
          <w:sz w:val="28"/>
          <w:szCs w:val="28"/>
        </w:rPr>
        <w:t>申报系统的材料太多，特别是身份</w:t>
      </w:r>
      <w:bookmarkStart w:id="0" w:name="_GoBack"/>
      <w:bookmarkEnd w:id="0"/>
      <w:r>
        <w:rPr>
          <w:rFonts w:hint="eastAsia"/>
          <w:sz w:val="28"/>
          <w:szCs w:val="28"/>
        </w:rPr>
        <w:t>证正反的照片、承诺书等</w:t>
      </w:r>
      <w:r>
        <w:rPr>
          <w:rFonts w:hint="eastAsia"/>
          <w:sz w:val="28"/>
          <w:szCs w:val="28"/>
          <w:lang w:val="en-US" w:eastAsia="zh-CN"/>
        </w:rPr>
        <w:t>，建议简化</w:t>
      </w:r>
      <w:r>
        <w:rPr>
          <w:rFonts w:hint="eastAsia"/>
          <w:sz w:val="28"/>
          <w:szCs w:val="28"/>
        </w:rPr>
        <w:t>。</w:t>
      </w:r>
    </w:p>
    <w:p>
      <w:pPr>
        <w:adjustRightInd w:val="0"/>
        <w:snapToGrid w:val="0"/>
        <w:spacing w:line="580" w:lineRule="exact"/>
      </w:pPr>
    </w:p>
    <w:p>
      <w:pPr>
        <w:adjustRightInd w:val="0"/>
        <w:snapToGrid w:val="0"/>
        <w:spacing w:line="580" w:lineRule="exact"/>
        <w:ind w:firstLine="720"/>
        <w:rPr>
          <w:rFonts w:ascii="楷体_GB2312" w:hAnsi="宋体" w:eastAsia="楷体_GB2312"/>
          <w:lang w:val="zh-CN"/>
        </w:rPr>
      </w:pPr>
    </w:p>
    <w:p>
      <w:pPr>
        <w:adjustRightInd w:val="0"/>
        <w:snapToGrid w:val="0"/>
        <w:spacing w:line="580" w:lineRule="exact"/>
        <w:ind w:firstLine="5280" w:firstLineChars="1650"/>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rPr>
        <w:t>2024年1月2日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3EB587-BF15-401C-90EF-D73B767A0BE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C902511-95CA-41BF-96F2-71D19D7FC08E}"/>
  </w:font>
  <w:font w:name="仿宋_GB2312">
    <w:panose1 w:val="02010609030101010101"/>
    <w:charset w:val="86"/>
    <w:family w:val="modern"/>
    <w:pitch w:val="default"/>
    <w:sig w:usb0="00000001" w:usb1="080E0000" w:usb2="00000000" w:usb3="00000000" w:csb0="00040000" w:csb1="00000000"/>
    <w:embedRegular r:id="rId3" w:fontKey="{E01CB2BD-7F22-4B98-A136-753DE8F813C5}"/>
  </w:font>
  <w:font w:name="??">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4" w:fontKey="{2C6731E7-10FA-40EF-BE7F-5C18079A6615}"/>
  </w:font>
  <w:font w:name="楷体_GB2312">
    <w:altName w:val="楷体"/>
    <w:panose1 w:val="00000000000000000000"/>
    <w:charset w:val="86"/>
    <w:family w:val="modern"/>
    <w:pitch w:val="default"/>
    <w:sig w:usb0="00000000" w:usb1="00000000" w:usb2="00000010" w:usb3="00000000" w:csb0="00040000" w:csb1="00000000"/>
    <w:embedRegular r:id="rId5" w:fontKey="{5B8161CB-176F-492A-9A2E-D713ED3AE33D}"/>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702EE0"/>
    <w:multiLevelType w:val="singleLevel"/>
    <w:tmpl w:val="BD702E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029CF"/>
    <w:rsid w:val="000262B4"/>
    <w:rsid w:val="00031D0F"/>
    <w:rsid w:val="00041AA3"/>
    <w:rsid w:val="00047FF7"/>
    <w:rsid w:val="00061B75"/>
    <w:rsid w:val="00063908"/>
    <w:rsid w:val="000660A6"/>
    <w:rsid w:val="00072438"/>
    <w:rsid w:val="00092954"/>
    <w:rsid w:val="000B1CEB"/>
    <w:rsid w:val="000B5533"/>
    <w:rsid w:val="000D31EE"/>
    <w:rsid w:val="000E7606"/>
    <w:rsid w:val="000F569F"/>
    <w:rsid w:val="0011620E"/>
    <w:rsid w:val="00125DAF"/>
    <w:rsid w:val="0015157C"/>
    <w:rsid w:val="00173039"/>
    <w:rsid w:val="00174201"/>
    <w:rsid w:val="001D6D8D"/>
    <w:rsid w:val="001E34BB"/>
    <w:rsid w:val="001E401E"/>
    <w:rsid w:val="001E6113"/>
    <w:rsid w:val="001F47CE"/>
    <w:rsid w:val="00220900"/>
    <w:rsid w:val="00225BC1"/>
    <w:rsid w:val="002413AD"/>
    <w:rsid w:val="00245907"/>
    <w:rsid w:val="002600D7"/>
    <w:rsid w:val="00291918"/>
    <w:rsid w:val="002B5B34"/>
    <w:rsid w:val="002C62D2"/>
    <w:rsid w:val="002E7D7A"/>
    <w:rsid w:val="00317E03"/>
    <w:rsid w:val="00327E97"/>
    <w:rsid w:val="00367245"/>
    <w:rsid w:val="00374466"/>
    <w:rsid w:val="00376F5B"/>
    <w:rsid w:val="00382E88"/>
    <w:rsid w:val="003B4463"/>
    <w:rsid w:val="003B4AEC"/>
    <w:rsid w:val="003E2792"/>
    <w:rsid w:val="003E5E79"/>
    <w:rsid w:val="003E786F"/>
    <w:rsid w:val="003F3D2B"/>
    <w:rsid w:val="003F771B"/>
    <w:rsid w:val="004113C0"/>
    <w:rsid w:val="00412A04"/>
    <w:rsid w:val="00413DC5"/>
    <w:rsid w:val="00425ED1"/>
    <w:rsid w:val="00437A5D"/>
    <w:rsid w:val="00447155"/>
    <w:rsid w:val="004B3B04"/>
    <w:rsid w:val="004D6FB7"/>
    <w:rsid w:val="004E2171"/>
    <w:rsid w:val="004E6143"/>
    <w:rsid w:val="004F7284"/>
    <w:rsid w:val="00500571"/>
    <w:rsid w:val="0052755E"/>
    <w:rsid w:val="00540A52"/>
    <w:rsid w:val="00542303"/>
    <w:rsid w:val="00543D64"/>
    <w:rsid w:val="00572F4E"/>
    <w:rsid w:val="005A32E9"/>
    <w:rsid w:val="005C2063"/>
    <w:rsid w:val="005C5C28"/>
    <w:rsid w:val="005D4AF4"/>
    <w:rsid w:val="00610011"/>
    <w:rsid w:val="006108BC"/>
    <w:rsid w:val="00640DAC"/>
    <w:rsid w:val="00645B2A"/>
    <w:rsid w:val="00645C38"/>
    <w:rsid w:val="006B25C2"/>
    <w:rsid w:val="006B75BA"/>
    <w:rsid w:val="006E3397"/>
    <w:rsid w:val="006E3A8B"/>
    <w:rsid w:val="006F6F46"/>
    <w:rsid w:val="00704D2F"/>
    <w:rsid w:val="00725818"/>
    <w:rsid w:val="00731156"/>
    <w:rsid w:val="007359BF"/>
    <w:rsid w:val="007533F5"/>
    <w:rsid w:val="00756EA2"/>
    <w:rsid w:val="00782BB3"/>
    <w:rsid w:val="007972FE"/>
    <w:rsid w:val="007A2D9C"/>
    <w:rsid w:val="007B2095"/>
    <w:rsid w:val="007C43B5"/>
    <w:rsid w:val="007D0D03"/>
    <w:rsid w:val="007E2A26"/>
    <w:rsid w:val="008202D5"/>
    <w:rsid w:val="00832280"/>
    <w:rsid w:val="00851C30"/>
    <w:rsid w:val="008522B7"/>
    <w:rsid w:val="00854163"/>
    <w:rsid w:val="008579F7"/>
    <w:rsid w:val="008854A0"/>
    <w:rsid w:val="00893DEA"/>
    <w:rsid w:val="008A0CFC"/>
    <w:rsid w:val="008A77D6"/>
    <w:rsid w:val="008D7836"/>
    <w:rsid w:val="008F6FBC"/>
    <w:rsid w:val="008F788A"/>
    <w:rsid w:val="009036C0"/>
    <w:rsid w:val="0092670A"/>
    <w:rsid w:val="00942D9C"/>
    <w:rsid w:val="009663C1"/>
    <w:rsid w:val="0096654A"/>
    <w:rsid w:val="00975380"/>
    <w:rsid w:val="00991186"/>
    <w:rsid w:val="009952BA"/>
    <w:rsid w:val="009B4864"/>
    <w:rsid w:val="009E1712"/>
    <w:rsid w:val="009F0029"/>
    <w:rsid w:val="00A102D1"/>
    <w:rsid w:val="00A13DF8"/>
    <w:rsid w:val="00A170EC"/>
    <w:rsid w:val="00A171F5"/>
    <w:rsid w:val="00A2504A"/>
    <w:rsid w:val="00A302F5"/>
    <w:rsid w:val="00A31CF1"/>
    <w:rsid w:val="00A411A9"/>
    <w:rsid w:val="00A413A6"/>
    <w:rsid w:val="00A61DA7"/>
    <w:rsid w:val="00A7284A"/>
    <w:rsid w:val="00A86881"/>
    <w:rsid w:val="00A86C0C"/>
    <w:rsid w:val="00A94C39"/>
    <w:rsid w:val="00AA1423"/>
    <w:rsid w:val="00AA5296"/>
    <w:rsid w:val="00AB0B28"/>
    <w:rsid w:val="00AF791D"/>
    <w:rsid w:val="00B10D87"/>
    <w:rsid w:val="00B124A7"/>
    <w:rsid w:val="00B14AA7"/>
    <w:rsid w:val="00B32804"/>
    <w:rsid w:val="00B54E96"/>
    <w:rsid w:val="00BB78EE"/>
    <w:rsid w:val="00C22C60"/>
    <w:rsid w:val="00C30B2E"/>
    <w:rsid w:val="00C72689"/>
    <w:rsid w:val="00C871E2"/>
    <w:rsid w:val="00CC2055"/>
    <w:rsid w:val="00CC3075"/>
    <w:rsid w:val="00CD7A50"/>
    <w:rsid w:val="00CE6B0C"/>
    <w:rsid w:val="00D36F3A"/>
    <w:rsid w:val="00D80323"/>
    <w:rsid w:val="00D96492"/>
    <w:rsid w:val="00DA4995"/>
    <w:rsid w:val="00DB4C32"/>
    <w:rsid w:val="00E10A5A"/>
    <w:rsid w:val="00E10DC1"/>
    <w:rsid w:val="00E4357F"/>
    <w:rsid w:val="00E522C8"/>
    <w:rsid w:val="00E675BF"/>
    <w:rsid w:val="00E77998"/>
    <w:rsid w:val="00E96F60"/>
    <w:rsid w:val="00EB3B8A"/>
    <w:rsid w:val="00EB7047"/>
    <w:rsid w:val="00EC60AA"/>
    <w:rsid w:val="00ED3D8E"/>
    <w:rsid w:val="00ED7DCD"/>
    <w:rsid w:val="00EE3D64"/>
    <w:rsid w:val="00EF3BD2"/>
    <w:rsid w:val="00F251E9"/>
    <w:rsid w:val="00F27183"/>
    <w:rsid w:val="00F46A1C"/>
    <w:rsid w:val="00F8620E"/>
    <w:rsid w:val="00FC2A81"/>
    <w:rsid w:val="00FD3EFA"/>
    <w:rsid w:val="00FD62E7"/>
    <w:rsid w:val="00FE1324"/>
    <w:rsid w:val="00FE76A4"/>
    <w:rsid w:val="00FE7B9A"/>
    <w:rsid w:val="14821178"/>
    <w:rsid w:val="1BD3228F"/>
    <w:rsid w:val="1CA23549"/>
    <w:rsid w:val="28B226E6"/>
    <w:rsid w:val="39211013"/>
    <w:rsid w:val="762945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99"/>
    <w:pPr>
      <w:tabs>
        <w:tab w:val="center" w:pos="4153"/>
        <w:tab w:val="right" w:pos="8306"/>
      </w:tabs>
      <w:snapToGrid w:val="0"/>
      <w:jc w:val="left"/>
    </w:pPr>
    <w:rPr>
      <w:rFonts w:ascii="Calibri" w:hAnsi="Calibri" w:eastAsia="宋体"/>
      <w:sz w:val="18"/>
      <w:szCs w:val="18"/>
    </w:rPr>
  </w:style>
  <w:style w:type="paragraph" w:styleId="3">
    <w:name w:val="header"/>
    <w:basedOn w:val="1"/>
    <w:link w:val="7"/>
    <w:autoRedefine/>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styleId="6">
    <w:name w:val="Strong"/>
    <w:basedOn w:val="5"/>
    <w:autoRedefine/>
    <w:qFormat/>
    <w:locked/>
    <w:uiPriority w:val="0"/>
    <w:rPr>
      <w:b/>
      <w:bCs/>
    </w:rPr>
  </w:style>
  <w:style w:type="character" w:customStyle="1" w:styleId="7">
    <w:name w:val="页眉 Char"/>
    <w:basedOn w:val="5"/>
    <w:link w:val="3"/>
    <w:autoRedefine/>
    <w:qFormat/>
    <w:locked/>
    <w:uiPriority w:val="99"/>
    <w:rPr>
      <w:rFonts w:cs="Times New Roman"/>
      <w:sz w:val="18"/>
      <w:szCs w:val="18"/>
    </w:rPr>
  </w:style>
  <w:style w:type="character" w:customStyle="1" w:styleId="8">
    <w:name w:val="页脚 Char"/>
    <w:basedOn w:val="5"/>
    <w:link w:val="2"/>
    <w:autoRedefine/>
    <w:qFormat/>
    <w:locked/>
    <w:uiPriority w:val="99"/>
    <w:rPr>
      <w:rFonts w:cs="Times New Roman"/>
      <w:sz w:val="18"/>
      <w:szCs w:val="18"/>
    </w:rPr>
  </w:style>
  <w:style w:type="paragraph" w:customStyle="1" w:styleId="9">
    <w:name w:val="四号正文"/>
    <w:basedOn w:val="1"/>
    <w:link w:val="10"/>
    <w:autoRedefine/>
    <w:qFormat/>
    <w:uiPriority w:val="99"/>
    <w:pPr>
      <w:spacing w:line="360" w:lineRule="auto"/>
    </w:pPr>
    <w:rPr>
      <w:rFonts w:ascii="??" w:hAnsi="??" w:eastAsia="宋体"/>
      <w:color w:val="000000"/>
      <w:kern w:val="0"/>
      <w:sz w:val="21"/>
      <w:szCs w:val="20"/>
    </w:rPr>
  </w:style>
  <w:style w:type="character" w:customStyle="1" w:styleId="10">
    <w:name w:val="四号正文 Char"/>
    <w:link w:val="9"/>
    <w:autoRedefine/>
    <w:qFormat/>
    <w:locked/>
    <w:uiPriority w:val="99"/>
    <w:rPr>
      <w:rFonts w:ascii="??" w:hAnsi="??" w:eastAsia="宋体"/>
      <w:color w:val="000000"/>
      <w:kern w:val="0"/>
      <w:sz w:val="21"/>
    </w:rPr>
  </w:style>
  <w:style w:type="paragraph" w:customStyle="1" w:styleId="11">
    <w:name w:val="正文2"/>
    <w:basedOn w:val="1"/>
    <w:next w:val="1"/>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281</Words>
  <Characters>1606</Characters>
  <Lines>13</Lines>
  <Paragraphs>3</Paragraphs>
  <TotalTime>18</TotalTime>
  <ScaleCrop>false</ScaleCrop>
  <LinksUpToDate>false</LinksUpToDate>
  <CharactersWithSpaces>1884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2023-05-25T03:17:00Z</dcterms:created>
  <dc:creator>opi</dc:creator>
  <cp:lastModifiedBy>幻</cp:lastModifiedBy>
  <dcterms:modified xsi:type="dcterms:W3CDTF">2024-01-15T07:26:48Z</dcterms:modified>
  <dc:title>附件6</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4B70375F29384E8688B28E3A2F1F562E_12</vt:lpwstr>
  </property>
</Properties>
</file>