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（大豆玉米带状复合种植）</w:t>
      </w:r>
    </w:p>
    <w:p>
      <w:pPr>
        <w:adjustRightInd w:val="0"/>
        <w:snapToGrid w:val="0"/>
        <w:spacing w:line="580" w:lineRule="exact"/>
        <w:ind w:firstLine="720"/>
        <w:jc w:val="center"/>
        <w:rPr>
          <w:rFonts w:ascii="仿宋_GB2312" w:hAnsi="宋体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根据四川省农业农村厅《关于印发〈四川省2023年轮作、油菜扩种、大豆玉米带状复合种植工作实施方案〉的通知》（川农函〔2023〕221号）和四川省农业农村厅《关于做好2023年农业高质量发展资金项目实施工作的通知》（川农函〔2023〕432号）文件要求。结合绵竹实施，编制的《绵竹市2023年大豆玉米带状复合种植实施方案》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完成大豆复合种植面积5000亩。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根据《四川省财政厅 四川省农业农村厅关于下达2023年省级财政农业高质量发展共同财政事权转移支付资金的通知》文件要求，大豆玉米复合种植补贴资金共计25万元。</w:t>
      </w:r>
    </w:p>
    <w:p>
      <w:pPr>
        <w:adjustRightInd w:val="0"/>
        <w:snapToGrid w:val="0"/>
        <w:spacing w:line="580" w:lineRule="exact"/>
        <w:ind w:firstLine="720"/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资金计划。</w:t>
      </w: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2023年省级财政农业高质量发展共同财政事权转移支付资金。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资金到位。资金已到位。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根据四川省农业农村厅《关于印发〈四川省2023年轮作、油菜扩种、大豆玉米带状复合种植工作实施方案〉的通知》（川农函〔2023〕221号）和四川省农业农村厅《关于做好2023年农业高质量发展资金项目实施工作的通知》（川农函〔2023〕432号）文件要求。结合绵竹实施，编制的《绵竹市2023年大豆玉米带状复合种植实施方案》，经局党组会议同意，上报绵竹市人民政府审议通过执行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截至目前，项目已完成全部环节并已验收拨付。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1.经济效益指标：复合种植农户增加收益共计25万元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firstLine="560" w:firstLineChars="20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2.满意度指标为项目业主满意度90%，完成率100%。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Theme="minorEastAsia" w:hAnsiTheme="minorEastAsia" w:eastAsiaTheme="minorEastAsia" w:cstheme="minorEastAsia"/>
          <w:sz w:val="28"/>
          <w:lang w:val="zh-CN"/>
        </w:rPr>
      </w:pPr>
      <w:r>
        <w:rPr>
          <w:rFonts w:hint="eastAsia" w:asciiTheme="minorEastAsia" w:hAnsiTheme="minorEastAsia" w:eastAsiaTheme="minorEastAsia" w:cstheme="minorEastAsia"/>
          <w:sz w:val="28"/>
          <w:lang w:val="zh-CN"/>
        </w:rPr>
        <w:t>严格按照上级文件及实施方案，对申报人员进行核实，审核通过后发放补贴。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</w:p>
    <w:p>
      <w:pPr>
        <w:adjustRightInd w:val="0"/>
        <w:snapToGrid w:val="0"/>
        <w:spacing w:line="580" w:lineRule="exact"/>
        <w:ind w:firstLine="720"/>
        <w:rPr>
          <w:rFonts w:ascii="仿宋_GB2312" w:hAnsi="宋体" w:eastAsia="楷体_GB2312"/>
          <w:sz w:val="28"/>
          <w:lang w:val="zh-CN"/>
        </w:rPr>
      </w:pPr>
    </w:p>
    <w:p>
      <w:pPr>
        <w:adjustRightInd w:val="0"/>
        <w:snapToGrid w:val="0"/>
        <w:spacing w:line="580" w:lineRule="exact"/>
        <w:ind w:firstLine="720"/>
        <w:jc w:val="right"/>
        <w:rPr>
          <w:rFonts w:asciiTheme="minorEastAsia" w:hAnsiTheme="minorEastAsia" w:eastAsiaTheme="minorEastAsia" w:cstheme="minorEastAsia"/>
          <w:sz w:val="28"/>
        </w:rPr>
      </w:pPr>
      <w:r>
        <w:rPr>
          <w:rFonts w:hint="eastAsia" w:asciiTheme="minorEastAsia" w:hAnsiTheme="minorEastAsia" w:eastAsiaTheme="minorEastAsia" w:cstheme="minorEastAsia"/>
          <w:sz w:val="28"/>
        </w:rPr>
        <w:t>2024年1月8日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569592-1DCC-4C9B-B99C-8366C1380BE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5BEF767-3952-419D-B44E-76ADF1E2897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F8120EC-12D6-4AAA-B2B5-AE6EB5DA2829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BB1ECFB8-4AFF-4170-AC25-D0D968BECBD8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17DF0F35-97F6-41FC-831E-16C9CB22F45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02EE0"/>
    <w:multiLevelType w:val="singleLevel"/>
    <w:tmpl w:val="BD702EE0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CED2C308"/>
    <w:multiLevelType w:val="singleLevel"/>
    <w:tmpl w:val="CED2C30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053499"/>
    <w:rsid w:val="000F63B5"/>
    <w:rsid w:val="00150CFC"/>
    <w:rsid w:val="001A50E8"/>
    <w:rsid w:val="001C6BC6"/>
    <w:rsid w:val="002218E5"/>
    <w:rsid w:val="00234419"/>
    <w:rsid w:val="00291918"/>
    <w:rsid w:val="002E7D7A"/>
    <w:rsid w:val="00371ED2"/>
    <w:rsid w:val="003A754C"/>
    <w:rsid w:val="003E17C6"/>
    <w:rsid w:val="00427240"/>
    <w:rsid w:val="004405E6"/>
    <w:rsid w:val="004A58FB"/>
    <w:rsid w:val="00516306"/>
    <w:rsid w:val="00543D64"/>
    <w:rsid w:val="00572F4E"/>
    <w:rsid w:val="005842A2"/>
    <w:rsid w:val="006023FD"/>
    <w:rsid w:val="006A21CD"/>
    <w:rsid w:val="007D23E5"/>
    <w:rsid w:val="00895BBA"/>
    <w:rsid w:val="008C1B5F"/>
    <w:rsid w:val="008F6FBC"/>
    <w:rsid w:val="008F788A"/>
    <w:rsid w:val="00922550"/>
    <w:rsid w:val="00976CD6"/>
    <w:rsid w:val="009C5E01"/>
    <w:rsid w:val="00A25407"/>
    <w:rsid w:val="00A36A47"/>
    <w:rsid w:val="00A8204E"/>
    <w:rsid w:val="00AB1E4A"/>
    <w:rsid w:val="00AC3975"/>
    <w:rsid w:val="00B86993"/>
    <w:rsid w:val="00BB658F"/>
    <w:rsid w:val="00CD7BC0"/>
    <w:rsid w:val="00CE4CE0"/>
    <w:rsid w:val="00E10AB9"/>
    <w:rsid w:val="00E4357F"/>
    <w:rsid w:val="00E90284"/>
    <w:rsid w:val="00EE4E80"/>
    <w:rsid w:val="00F22333"/>
    <w:rsid w:val="00F251E9"/>
    <w:rsid w:val="00F67C8D"/>
    <w:rsid w:val="00F951B3"/>
    <w:rsid w:val="00FD3EFA"/>
    <w:rsid w:val="00FD62E7"/>
    <w:rsid w:val="02CC4CEB"/>
    <w:rsid w:val="187128AD"/>
    <w:rsid w:val="3CE52824"/>
    <w:rsid w:val="4D311D5B"/>
    <w:rsid w:val="56EE1F83"/>
    <w:rsid w:val="6D5D43C2"/>
    <w:rsid w:val="6DF07FA4"/>
    <w:rsid w:val="6F3B6B58"/>
    <w:rsid w:val="781E48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149</Words>
  <Characters>852</Characters>
  <Lines>7</Lines>
  <Paragraphs>1</Paragraphs>
  <TotalTime>161</TotalTime>
  <ScaleCrop>false</ScaleCrop>
  <LinksUpToDate>false</LinksUpToDate>
  <CharactersWithSpaces>1000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2024-01-08T09:07:00Z</dcterms:created>
  <dc:creator>opi</dc:creator>
  <cp:lastModifiedBy>觅喃</cp:lastModifiedBy>
  <dcterms:modified xsi:type="dcterms:W3CDTF">2024-05-24T07:42:16Z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A2C838C37E994786A4FF4BA31DBDCDCE_13</vt:lpwstr>
  </property>
</Properties>
</file>