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ascii="仿宋_GB2312" w:hAnsi="宋体"/>
        </w:rPr>
      </w:pPr>
      <w:r>
        <w:rPr>
          <w:rFonts w:hint="eastAsia" w:ascii="仿宋_GB2312" w:hAnsi="宋体"/>
        </w:rPr>
        <w:t>（2023年中央财政农业防灾减灾和水利救灾资金</w:t>
      </w:r>
    </w:p>
    <w:p>
      <w:pPr>
        <w:spacing w:line="580" w:lineRule="exact"/>
        <w:jc w:val="center"/>
        <w:rPr>
          <w:rFonts w:ascii="仿宋_GB2312" w:hAnsi="宋体"/>
        </w:rPr>
      </w:pPr>
      <w:r>
        <w:rPr>
          <w:rFonts w:hint="eastAsia" w:ascii="仿宋_GB2312" w:hAnsi="宋体"/>
        </w:rPr>
        <w:t>（防灾减灾第一批）项目）</w:t>
      </w:r>
    </w:p>
    <w:p>
      <w:pPr>
        <w:pStyle w:val="8"/>
        <w:spacing w:line="580" w:lineRule="exact"/>
        <w:ind w:firstLine="640"/>
        <w:jc w:val="center"/>
        <w:rPr>
          <w:rFonts w:hint="eastAsia" w:ascii="宋体"/>
          <w:color w:val="auto"/>
          <w:kern w:val="2"/>
          <w:szCs w:val="32"/>
        </w:rPr>
      </w:pPr>
    </w:p>
    <w:p>
      <w:pPr>
        <w:adjustRightInd w:val="0"/>
        <w:snapToGrid w:val="0"/>
        <w:spacing w:line="580" w:lineRule="exact"/>
        <w:ind w:firstLine="720"/>
        <w:rPr>
          <w:rFonts w:ascii="黑体" w:hAnsi="宋体" w:eastAsia="黑体"/>
          <w:sz w:val="28"/>
          <w:lang w:val="zh-CN"/>
        </w:rPr>
      </w:pPr>
      <w:r>
        <w:rPr>
          <w:rFonts w:hint="eastAsia" w:ascii="黑体" w:hAnsi="宋体" w:eastAsia="黑体"/>
          <w:sz w:val="28"/>
        </w:rPr>
        <w:t>一、</w:t>
      </w:r>
      <w:r>
        <w:rPr>
          <w:rFonts w:hint="eastAsia" w:ascii="黑体" w:hAnsi="宋体" w:eastAsia="黑体"/>
          <w:sz w:val="28"/>
          <w:lang w:val="zh-CN"/>
        </w:rPr>
        <w:t>项目概况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（一）项目基本情况。</w:t>
      </w:r>
    </w:p>
    <w:p>
      <w:pPr>
        <w:spacing w:line="560" w:lineRule="exact"/>
        <w:ind w:firstLine="560" w:firstLineChars="200"/>
        <w:rPr>
          <w:rFonts w:ascii="仿宋_GB2312" w:hAnsi="宋体"/>
          <w:sz w:val="28"/>
          <w:lang w:val="zh-CN"/>
        </w:rPr>
      </w:pPr>
      <w:r>
        <w:rPr>
          <w:rFonts w:hint="eastAsia" w:ascii="仿宋_GB2312" w:hAnsi="宋体"/>
          <w:sz w:val="28"/>
          <w:lang w:val="zh-CN"/>
        </w:rPr>
        <w:t>根据四川省财政厅、四川省农业农村厅关于下达2023年中央财政农业防灾减灾和水利救灾资金（防灾救灾第一批）的通知及《四川省农业农村厅关于印发〈四川省2023年中央财政农业防灾减灾资金（第一批）实施方案〉的通知》精神，2023年中央财政农业防灾减灾和水利救灾资金（防灾救灾第一批）共下达我市农</w:t>
      </w:r>
      <w:r>
        <w:rPr>
          <w:rFonts w:hint="eastAsia" w:eastAsia="方正仿宋简体" w:cs="方正仿宋简体"/>
        </w:rPr>
        <w:t>作</w:t>
      </w:r>
      <w:r>
        <w:rPr>
          <w:rFonts w:hint="eastAsia" w:ascii="仿宋_GB2312" w:hAnsi="宋体"/>
          <w:sz w:val="28"/>
          <w:lang w:val="zh-CN"/>
        </w:rPr>
        <w:t>物重大病虫害防控资金40万元，用于支持水稻一二类病虫害绿色防控和统防统治。按照要求绵竹市农业农村局植保植检站草拟了《绵竹市2023年中央财政农业防灾减灾资金（第一批）农作物重大病虫害防控项目实施方案》，经局党组会审议通过，绵竹市农业农村局向市政府呈报了关于审议《绵竹市2023年中央财政农业防灾减灾资金（第一批）农作物重大病虫害防控项目实施方案》的请示，经市政府审议，同意执行该方案。</w:t>
      </w:r>
    </w:p>
    <w:p>
      <w:pPr>
        <w:adjustRightInd w:val="0"/>
        <w:snapToGrid w:val="0"/>
        <w:spacing w:line="580" w:lineRule="exact"/>
        <w:ind w:firstLine="422" w:firstLineChars="150"/>
        <w:rPr>
          <w:rFonts w:ascii="楷体_GB2312" w:hAnsi="宋体" w:eastAsia="楷体_GB2312"/>
          <w:b/>
          <w:sz w:val="28"/>
          <w:lang w:val="zh-CN"/>
        </w:rPr>
      </w:pPr>
      <w:r>
        <w:rPr>
          <w:rFonts w:hint="eastAsia" w:ascii="楷体_GB2312" w:hAnsi="宋体" w:eastAsia="楷体_GB2312"/>
          <w:b/>
          <w:sz w:val="28"/>
          <w:lang w:val="zh-CN"/>
        </w:rPr>
        <w:t>（二）项目绩效目标。</w:t>
      </w:r>
    </w:p>
    <w:p>
      <w:pPr>
        <w:adjustRightInd w:val="0"/>
        <w:snapToGrid w:val="0"/>
        <w:spacing w:line="580" w:lineRule="exact"/>
        <w:ind w:firstLine="720"/>
        <w:rPr>
          <w:rFonts w:ascii="仿宋_GB2312" w:hAnsi="宋体"/>
          <w:sz w:val="28"/>
          <w:lang w:val="zh-CN"/>
        </w:rPr>
      </w:pPr>
      <w:r>
        <w:rPr>
          <w:rFonts w:ascii="仿宋_GB2312" w:hAnsi="宋体"/>
          <w:sz w:val="28"/>
          <w:lang w:val="zh-CN"/>
        </w:rPr>
        <w:t>1</w:t>
      </w:r>
      <w:r>
        <w:rPr>
          <w:rFonts w:hint="eastAsia" w:ascii="仿宋_GB2312" w:hAnsi="宋体"/>
          <w:sz w:val="28"/>
          <w:lang w:val="zh-CN"/>
        </w:rPr>
        <w:t>．项目主要内容。</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rPr>
        <w:t>实施水稻病虫害绿色防控和统防统治。完成水稻一二类病虫害防控面积2.67万亩次，其中绿色防控1.335万亩次，包括二化螟性诱杀0.25万亩次，投放赤眼蜂卵球1.085万亩次；水稻穗期病虫统防统治1.335万亩次。</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rPr>
        <w:t>建立核心示范区。建立水稻绿色防控与统防统治融合示范区，面积不小于5000亩，设置项目区、常规防控区、空白对照区三区试验，评价防效。</w:t>
      </w:r>
    </w:p>
    <w:p>
      <w:pPr>
        <w:spacing w:line="560" w:lineRule="exact"/>
        <w:ind w:firstLine="560" w:firstLineChars="200"/>
        <w:rPr>
          <w:rFonts w:ascii="仿宋_GB2312" w:hAnsi="宋体"/>
          <w:sz w:val="28"/>
          <w:lang w:val="zh-CN"/>
        </w:rPr>
      </w:pPr>
      <w:r>
        <w:rPr>
          <w:rFonts w:ascii="仿宋_GB2312" w:hAnsi="宋体"/>
          <w:sz w:val="28"/>
          <w:lang w:val="zh-CN"/>
        </w:rPr>
        <w:t>2</w:t>
      </w:r>
      <w:r>
        <w:rPr>
          <w:rFonts w:hint="eastAsia" w:ascii="仿宋_GB2312" w:hAnsi="宋体"/>
          <w:sz w:val="28"/>
          <w:lang w:val="zh-CN"/>
        </w:rPr>
        <w:t>．绩效目标。</w:t>
      </w:r>
    </w:p>
    <w:p>
      <w:pPr>
        <w:spacing w:line="560" w:lineRule="exact"/>
        <w:ind w:firstLine="560" w:firstLineChars="200"/>
        <w:rPr>
          <w:rFonts w:ascii="仿宋_GB2312" w:hAnsi="宋体"/>
          <w:sz w:val="28"/>
          <w:lang w:val="zh-CN"/>
        </w:rPr>
      </w:pPr>
      <w:r>
        <w:rPr>
          <w:rFonts w:hint="eastAsia" w:ascii="仿宋_GB2312" w:hAnsi="宋体"/>
          <w:sz w:val="28"/>
          <w:lang w:val="zh-CN"/>
        </w:rPr>
        <w:t>完成水稻一二类病虫害防控2.67万亩次，重发区域病虫得到有效控制，不出现大面积绝收成灾，有效遏制病虫害暴发流行成灾，有力保障粮食安全和农业生产安全。项目实施区统防统治覆盖率﹥43％。</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3</w:t>
      </w:r>
      <w:r>
        <w:rPr>
          <w:rFonts w:hint="eastAsia" w:ascii="仿宋_GB2312" w:hAnsi="宋体"/>
          <w:sz w:val="28"/>
          <w:lang w:val="zh-CN"/>
        </w:rPr>
        <w:t>．项目申报内容与实际相符，申报目标合理可行。</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（三）项目自评步骤及方法。</w:t>
      </w:r>
    </w:p>
    <w:p>
      <w:pPr>
        <w:widowControl/>
        <w:spacing w:line="560" w:lineRule="exact"/>
        <w:ind w:firstLine="560" w:firstLineChars="200"/>
        <w:jc w:val="left"/>
        <w:rPr>
          <w:rFonts w:eastAsia="方正仿宋简体" w:cs="方正仿宋简体"/>
          <w:b/>
        </w:rPr>
      </w:pPr>
      <w:r>
        <w:rPr>
          <w:rFonts w:hint="eastAsia" w:ascii="仿宋_GB2312" w:hAnsi="宋体"/>
          <w:sz w:val="28"/>
          <w:lang w:val="zh-CN"/>
        </w:rPr>
        <w:t>项目服务任务完成后，采取服务组织自验、孝德镇初验、县级复验的方式，对服务区域进行现场验收。服务主体自验合格后，向孝德镇书面申请项目初验，孝德镇初验合格，填写“服务名册汇总表”并出具书面验收报告，签字盖章后报市农业农村局。市农业农村局在自验、初验基础上，按要求成立验收组，对服务内容、面积、效果等进行抽查验收，对农民满意度进行测评。出具验收结果，并在孝德镇政府、相关村进行公示，公示期满且无异议后，出具验收报告。</w:t>
      </w:r>
    </w:p>
    <w:p>
      <w:pPr>
        <w:adjustRightInd w:val="0"/>
        <w:snapToGrid w:val="0"/>
        <w:spacing w:line="580" w:lineRule="exact"/>
        <w:ind w:firstLine="720"/>
        <w:rPr>
          <w:rFonts w:ascii="黑体" w:hAnsi="宋体" w:eastAsia="黑体"/>
          <w:sz w:val="28"/>
        </w:rPr>
      </w:pPr>
      <w:r>
        <w:rPr>
          <w:rFonts w:hint="eastAsia" w:ascii="黑体" w:hAnsi="宋体" w:eastAsia="黑体"/>
          <w:sz w:val="28"/>
        </w:rPr>
        <w:t>二、项目资金申报及使用情况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（一）项目资金申报及批复情况。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根据四川省财政厅、四川省农业农村厅关于下达2023年中央财政农业防灾减灾和水利救灾资金（防灾救灾第一批）的通知，2023年中央财政农业防灾减灾和水利救灾资金（防灾救灾第一批）共下达我市农作</w:t>
      </w:r>
      <w:r>
        <w:rPr>
          <w:rFonts w:hint="eastAsia" w:ascii="仿宋_GB2312" w:hAnsi="宋体"/>
          <w:sz w:val="28"/>
          <w:lang w:val="zh-CN"/>
        </w:rPr>
        <w:t>物重大病虫害防控</w:t>
      </w:r>
      <w:bookmarkStart w:id="0" w:name="_GoBack"/>
      <w:bookmarkEnd w:id="0"/>
      <w:r>
        <w:rPr>
          <w:rFonts w:hint="eastAsia" w:ascii="仿宋_GB2312" w:hAnsi="宋体"/>
          <w:sz w:val="28"/>
          <w:lang w:val="zh-CN"/>
        </w:rPr>
        <w:t>资金40万元。</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（二）资金计划、到位及使用情况。</w:t>
      </w:r>
    </w:p>
    <w:p>
      <w:pPr>
        <w:adjustRightInd w:val="0"/>
        <w:snapToGrid w:val="0"/>
        <w:spacing w:line="580" w:lineRule="exact"/>
        <w:ind w:firstLine="720"/>
        <w:rPr>
          <w:rFonts w:ascii="仿宋_GB2312" w:hAnsi="宋体"/>
          <w:sz w:val="28"/>
          <w:lang w:val="zh-CN"/>
        </w:rPr>
      </w:pPr>
      <w:r>
        <w:rPr>
          <w:rFonts w:ascii="楷体_GB2312" w:hAnsi="宋体" w:eastAsia="楷体_GB2312"/>
          <w:sz w:val="28"/>
          <w:lang w:val="zh-CN"/>
        </w:rPr>
        <w:t>1</w:t>
      </w:r>
      <w:r>
        <w:rPr>
          <w:rFonts w:hint="eastAsia" w:ascii="楷体_GB2312" w:hAnsi="宋体" w:eastAsia="楷体_GB2312"/>
          <w:sz w:val="28"/>
          <w:lang w:val="zh-CN"/>
        </w:rPr>
        <w:t>．资金计划。</w:t>
      </w:r>
      <w:r>
        <w:rPr>
          <w:rFonts w:hint="eastAsia" w:ascii="仿宋_GB2312" w:hAnsi="宋体"/>
          <w:sz w:val="28"/>
          <w:lang w:val="zh-CN"/>
        </w:rPr>
        <w:t>本项目计划资金40万元，全部为中央资金，一是用于对开展水稻一二类病虫害绿色防控和统防统治所需的对路农药、诱控装置、天敌昆虫等物资及无人机等高效植保机械作业等进行补助，计划补助39.6万元，其中绿色防控补助19.8万元、统防统治补助作业费19.8万元，补助对象为承接水稻一二类病虫害绿色防控和统防统治服务的服务主体。二是用于对水稻重大病虫害防控三区试验误工费、交通费、保险费、产量损失等进行补助，补助金额0.4万元，补助对象为试验承担者。</w:t>
      </w:r>
    </w:p>
    <w:p>
      <w:pPr>
        <w:adjustRightInd w:val="0"/>
        <w:snapToGrid w:val="0"/>
        <w:spacing w:line="580" w:lineRule="exact"/>
        <w:ind w:firstLine="720"/>
        <w:rPr>
          <w:rFonts w:ascii="仿宋_GB2312" w:hAnsi="宋体"/>
          <w:sz w:val="28"/>
          <w:lang w:val="zh-CN"/>
        </w:rPr>
      </w:pPr>
      <w:r>
        <w:rPr>
          <w:rFonts w:ascii="楷体_GB2312" w:hAnsi="宋体" w:eastAsia="楷体_GB2312"/>
          <w:sz w:val="28"/>
          <w:lang w:val="zh-CN"/>
        </w:rPr>
        <w:t>2</w:t>
      </w:r>
      <w:r>
        <w:rPr>
          <w:rFonts w:hint="eastAsia" w:ascii="楷体_GB2312" w:hAnsi="宋体" w:eastAsia="楷体_GB2312"/>
          <w:sz w:val="28"/>
          <w:lang w:val="zh-CN"/>
        </w:rPr>
        <w:t>．资金到位。</w:t>
      </w:r>
      <w:r>
        <w:rPr>
          <w:rFonts w:hint="eastAsia" w:ascii="仿宋_GB2312" w:hAnsi="宋体"/>
          <w:sz w:val="28"/>
          <w:lang w:val="zh-CN"/>
        </w:rPr>
        <w:t>项目资金40万元全部到位。</w:t>
      </w:r>
    </w:p>
    <w:p>
      <w:pPr>
        <w:adjustRightInd w:val="0"/>
        <w:snapToGrid w:val="0"/>
        <w:spacing w:line="580" w:lineRule="exact"/>
        <w:ind w:firstLine="720"/>
        <w:rPr>
          <w:rFonts w:ascii="仿宋_GB2312" w:hAnsi="宋体"/>
          <w:sz w:val="28"/>
          <w:lang w:val="zh-CN"/>
        </w:rPr>
      </w:pPr>
      <w:r>
        <w:rPr>
          <w:rFonts w:ascii="楷体_GB2312" w:hAnsi="宋体" w:eastAsia="楷体_GB2312"/>
          <w:sz w:val="28"/>
          <w:lang w:val="zh-CN"/>
        </w:rPr>
        <w:t>3</w:t>
      </w:r>
      <w:r>
        <w:rPr>
          <w:rFonts w:hint="eastAsia" w:ascii="楷体_GB2312" w:hAnsi="宋体" w:eastAsia="楷体_GB2312"/>
          <w:sz w:val="28"/>
          <w:lang w:val="zh-CN"/>
        </w:rPr>
        <w:t>．资金使用。</w:t>
      </w:r>
      <w:r>
        <w:rPr>
          <w:rFonts w:hint="eastAsia" w:ascii="仿宋_GB2312" w:hAnsi="宋体"/>
          <w:sz w:val="28"/>
          <w:lang w:val="zh-CN"/>
        </w:rPr>
        <w:t>共使用项目资金39.4万元，其中用于对开展水稻一二类病虫害绿色防控和统防统治所需的对路农药、诱控装置、天敌昆虫等物资及无人机等高效植保机械作业等补助39万元；用于对水稻重大病虫害防控三区试验误工费、交通费、保险费、产量损失等补助0.4万元，剩余0.6万元为采购结余资金。</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（三）项目财务管理情况。</w:t>
      </w:r>
    </w:p>
    <w:p>
      <w:pPr>
        <w:pStyle w:val="8"/>
        <w:spacing w:line="580" w:lineRule="exact"/>
        <w:ind w:firstLine="640"/>
        <w:jc w:val="left"/>
        <w:rPr>
          <w:rFonts w:hint="eastAsia" w:ascii="仿宋_GB2312" w:hAnsi="宋体" w:eastAsia="仿宋_GB2312"/>
          <w:color w:val="auto"/>
          <w:kern w:val="2"/>
          <w:szCs w:val="32"/>
          <w:lang w:val="zh-CN"/>
        </w:rPr>
      </w:pPr>
      <w:r>
        <w:rPr>
          <w:rFonts w:hint="eastAsia" w:ascii="仿宋_GB2312" w:hAnsi="宋体" w:eastAsia="仿宋_GB2312"/>
          <w:color w:val="auto"/>
          <w:kern w:val="2"/>
          <w:szCs w:val="32"/>
          <w:lang w:val="zh-CN"/>
        </w:rPr>
        <w:t>该项目严格按照实施方案有序推进，项目实施期间，我局主责办、项目股对项目实施质量、资金使用全程进行监管，做到专款专用、合理合规，采取报帐制进行管理，按资金使用方案、程序进行开支。财务管理制度健全，严格执行财务管理制度，账务处理及时，会计核算规范，未出现套取、挤占、挪用情况，确保了项目质量。</w:t>
      </w:r>
    </w:p>
    <w:p>
      <w:pPr>
        <w:adjustRightInd w:val="0"/>
        <w:snapToGrid w:val="0"/>
        <w:spacing w:line="580" w:lineRule="exact"/>
        <w:ind w:firstLine="720"/>
        <w:rPr>
          <w:rFonts w:ascii="黑体" w:hAnsi="宋体" w:eastAsia="黑体"/>
          <w:sz w:val="28"/>
        </w:rPr>
      </w:pPr>
      <w:r>
        <w:rPr>
          <w:rFonts w:hint="eastAsia" w:ascii="黑体" w:hAnsi="宋体" w:eastAsia="黑体"/>
          <w:sz w:val="28"/>
        </w:rPr>
        <w:t>三、项目实施及管理情况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（一）项目组织架构及实施流程。</w:t>
      </w:r>
    </w:p>
    <w:p>
      <w:pPr>
        <w:tabs>
          <w:tab w:val="left" w:pos="4360"/>
        </w:tabs>
        <w:spacing w:line="360" w:lineRule="auto"/>
        <w:ind w:firstLine="560" w:firstLineChars="200"/>
        <w:rPr>
          <w:rFonts w:hint="eastAsia" w:ascii="仿宋_GB2312" w:hAnsi="宋体"/>
          <w:color w:val="000000"/>
          <w:sz w:val="28"/>
          <w:szCs w:val="28"/>
        </w:rPr>
      </w:pPr>
      <w:r>
        <w:rPr>
          <w:rFonts w:hint="eastAsia" w:ascii="仿宋_GB2312" w:hAnsi="宋体"/>
          <w:color w:val="000000"/>
          <w:sz w:val="28"/>
          <w:szCs w:val="28"/>
        </w:rPr>
        <w:t>项目实施过程中，加强了组织领导，明确了项目分管领导及实施部门、资金管理部门、监督部门等的职责，确保项目实施效果。</w:t>
      </w:r>
    </w:p>
    <w:p>
      <w:pPr>
        <w:spacing w:line="560" w:lineRule="exact"/>
        <w:ind w:firstLine="562" w:firstLineChars="200"/>
        <w:rPr>
          <w:rFonts w:hint="eastAsia" w:ascii="仿宋_GB2312" w:cs="方正仿宋简体"/>
          <w:sz w:val="28"/>
          <w:szCs w:val="28"/>
        </w:rPr>
      </w:pPr>
      <w:r>
        <w:rPr>
          <w:rFonts w:hint="eastAsia" w:ascii="楷体_GB2312" w:hAnsi="宋体" w:eastAsia="楷体_GB2312"/>
          <w:b/>
          <w:sz w:val="28"/>
          <w:lang w:val="zh-CN"/>
        </w:rPr>
        <w:t>（二）项目管理情况。</w:t>
      </w:r>
      <w:r>
        <w:rPr>
          <w:rFonts w:hint="eastAsia" w:ascii="仿宋_GB2312" w:cs="方正仿宋简体"/>
          <w:sz w:val="28"/>
          <w:szCs w:val="28"/>
        </w:rPr>
        <w:t>市农业农村局对项目实施进行全程监管，严格按照政府采购要求，确定服务主体，未出现徇私舞弊等违法违纪行为，项目实施过程中，严格监督服务进度、质量，发现问题及时督促整改，确保任务和质量落地落实。按照资金管理办法严肃财经纪律，严格专款专用，加强项目绩效管理，强化政策实施监督，项目保质保量完成。</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（三）项目监管情况。</w:t>
      </w:r>
      <w:r>
        <w:rPr>
          <w:rFonts w:hint="eastAsia" w:ascii="仿宋_GB2312" w:hAnsi="宋体"/>
          <w:sz w:val="28"/>
          <w:lang w:val="zh-CN"/>
        </w:rPr>
        <w:t>项目实施过程中，局主责办全程参与监管，未出现违纪违法行为。</w:t>
      </w:r>
    </w:p>
    <w:p>
      <w:pPr>
        <w:adjustRightInd w:val="0"/>
        <w:snapToGrid w:val="0"/>
        <w:spacing w:line="580" w:lineRule="exact"/>
        <w:ind w:firstLine="720"/>
        <w:rPr>
          <w:rFonts w:ascii="仿宋_GB2312" w:hAnsi="宋体"/>
          <w:sz w:val="28"/>
          <w:lang w:val="zh-CN"/>
        </w:rPr>
      </w:pPr>
      <w:r>
        <w:rPr>
          <w:rFonts w:hint="eastAsia" w:ascii="黑体" w:hAnsi="宋体" w:eastAsia="黑体"/>
          <w:sz w:val="28"/>
        </w:rPr>
        <w:t>四、项目绩效情况</w:t>
      </w:r>
      <w:r>
        <w:rPr>
          <w:rFonts w:ascii="仿宋_GB2312" w:hAnsi="宋体"/>
          <w:sz w:val="28"/>
          <w:lang w:val="zh-CN"/>
        </w:rPr>
        <w:tab/>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（一）项目完成情况。</w:t>
      </w:r>
    </w:p>
    <w:p>
      <w:pPr>
        <w:ind w:firstLine="560" w:firstLineChars="200"/>
        <w:rPr>
          <w:rFonts w:hint="eastAsia" w:ascii="仿宋_GB2312" w:hAnsi="宋体"/>
          <w:sz w:val="28"/>
          <w:szCs w:val="28"/>
        </w:rPr>
      </w:pPr>
      <w:r>
        <w:rPr>
          <w:rFonts w:hint="eastAsia" w:ascii="仿宋_GB2312" w:hAnsi="宋体"/>
          <w:sz w:val="28"/>
          <w:szCs w:val="28"/>
        </w:rPr>
        <w:t>服务主体在水稻病虫害防治关键时期，在我市孝德镇境内共服务面积2.7598万亩次，占任务面积103.4％，其中绿色防控1.3799万亩，包括水稻二化螟性诱杀防控0.25万亩、水稻赤眼蜂防控螟虫面积1.1299万亩；水稻穗期主要病虫害统防统治面积1.3799万亩。</w:t>
      </w:r>
    </w:p>
    <w:p>
      <w:pPr>
        <w:spacing w:line="560" w:lineRule="exact"/>
        <w:ind w:firstLine="560" w:firstLineChars="200"/>
        <w:rPr>
          <w:rFonts w:hint="eastAsia" w:ascii="仿宋_GB2312" w:cs="方正仿宋简体"/>
          <w:sz w:val="28"/>
          <w:szCs w:val="28"/>
        </w:rPr>
      </w:pPr>
      <w:r>
        <w:rPr>
          <w:rFonts w:hint="eastAsia" w:ascii="仿宋_GB2312" w:cs="方正仿宋简体"/>
          <w:sz w:val="28"/>
          <w:szCs w:val="28"/>
        </w:rPr>
        <w:t>以绵竹市现代粮油园区为核心，建立了水稻绿色防控与统防统治融合示范区，面积1.04万亩，设置完成项目区、常规防控区、空白对照区三区试验1个。</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（二）项目效益情况。</w:t>
      </w:r>
    </w:p>
    <w:p>
      <w:pPr>
        <w:ind w:firstLine="560" w:firstLineChars="200"/>
        <w:rPr>
          <w:rFonts w:hint="eastAsia" w:ascii="仿宋_GB2312"/>
          <w:sz w:val="28"/>
          <w:szCs w:val="28"/>
        </w:rPr>
      </w:pPr>
      <w:r>
        <w:rPr>
          <w:rFonts w:hint="eastAsia" w:ascii="仿宋_GB2312" w:hAnsi="宋体"/>
          <w:sz w:val="28"/>
          <w:szCs w:val="28"/>
        </w:rPr>
        <w:t>抽查项目区水稻主要病虫害损失率1％，抽查服务对象满意度大于90％。</w:t>
      </w:r>
      <w:r>
        <w:rPr>
          <w:rFonts w:hint="eastAsia" w:ascii="仿宋_GB2312" w:cs="方正仿宋简体"/>
          <w:sz w:val="28"/>
          <w:szCs w:val="28"/>
        </w:rPr>
        <w:t>通过项目区、常规防控区、空白对照区三区试验，</w:t>
      </w:r>
      <w:r>
        <w:rPr>
          <w:rFonts w:hint="eastAsia" w:ascii="仿宋_GB2312"/>
          <w:sz w:val="28"/>
          <w:szCs w:val="28"/>
        </w:rPr>
        <w:t>统防统治区挽回损失47.6％，农民自防区挽回24.2％，植保贡献率统防统治区32.2％、农民自防区16.3％。</w:t>
      </w:r>
    </w:p>
    <w:p>
      <w:pPr>
        <w:adjustRightInd w:val="0"/>
        <w:snapToGrid w:val="0"/>
        <w:spacing w:line="580" w:lineRule="exact"/>
        <w:ind w:firstLine="720"/>
        <w:rPr>
          <w:rFonts w:ascii="黑体" w:hAnsi="宋体" w:eastAsia="黑体"/>
          <w:sz w:val="28"/>
        </w:rPr>
      </w:pPr>
      <w:r>
        <w:rPr>
          <w:rFonts w:hint="eastAsia" w:ascii="黑体" w:hAnsi="宋体" w:eastAsia="黑体"/>
          <w:sz w:val="28"/>
        </w:rPr>
        <w:t>五、评价结论及建议</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（一）评价结论。</w:t>
      </w:r>
    </w:p>
    <w:p>
      <w:pPr>
        <w:pStyle w:val="8"/>
        <w:spacing w:line="580" w:lineRule="exact"/>
        <w:ind w:firstLine="640"/>
        <w:jc w:val="left"/>
        <w:rPr>
          <w:rFonts w:hint="eastAsia" w:ascii="仿宋_GB2312" w:eastAsia="仿宋_GB2312"/>
          <w:color w:val="auto"/>
          <w:kern w:val="2"/>
          <w:szCs w:val="28"/>
        </w:rPr>
      </w:pPr>
      <w:r>
        <w:rPr>
          <w:rFonts w:hint="eastAsia" w:ascii="仿宋_GB2312" w:eastAsia="仿宋_GB2312"/>
          <w:color w:val="auto"/>
          <w:kern w:val="2"/>
          <w:szCs w:val="28"/>
        </w:rPr>
        <w:t>通过</w:t>
      </w:r>
      <w:r>
        <w:rPr>
          <w:rFonts w:hint="eastAsia" w:ascii="仿宋_GB2312" w:hAnsi="宋体" w:eastAsia="仿宋_GB2312"/>
          <w:szCs w:val="28"/>
          <w:lang w:val="zh-CN"/>
        </w:rPr>
        <w:t>农作物重大病虫害防控项目的实施，促进了水稻</w:t>
      </w:r>
      <w:r>
        <w:rPr>
          <w:rFonts w:hint="eastAsia" w:ascii="仿宋_GB2312" w:hAnsi="Times New Roman" w:eastAsia="仿宋_GB2312" w:cs="方正仿宋简体"/>
          <w:szCs w:val="28"/>
        </w:rPr>
        <w:t>绿色防控与统防统治融合技术的推广应用，提高了水稻重大病虫害防治效果，增加了水稻产量，确保了粮食的有效供给，同时，通过项目资金投入，降低了项目区种植户生产成本，提高了种粮户的生产积极性，为农业生产的可持续发展起到了重要的促进作用。</w:t>
      </w:r>
      <w:r>
        <w:rPr>
          <w:rFonts w:hint="eastAsia" w:ascii="仿宋_GB2312" w:hAnsi="仿宋_GB2312" w:eastAsia="仿宋_GB2312" w:cs="仿宋_GB2312"/>
          <w:bCs/>
          <w:szCs w:val="28"/>
          <w:lang w:val="zh-CN"/>
        </w:rPr>
        <w:t>项目达到预期效益，通过自评得分100</w:t>
      </w:r>
      <w:r>
        <w:rPr>
          <w:rFonts w:hint="eastAsia" w:ascii="仿宋_GB2312" w:hAnsi="仿宋_GB2312" w:eastAsia="仿宋_GB2312" w:cs="仿宋_GB2312"/>
          <w:bCs/>
          <w:szCs w:val="28"/>
        </w:rPr>
        <w:t>分。</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（二）存在的问题。</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rPr>
        <w:t>无</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（三）相关建议。</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B629E8B-9D41-43F0-B9DF-58EA2968F4F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BF210B84-8B91-4F23-A831-63983D7997F2}"/>
  </w:font>
  <w:font w:name="仿宋_GB2312">
    <w:altName w:val="仿宋"/>
    <w:panose1 w:val="02010609030101010101"/>
    <w:charset w:val="86"/>
    <w:family w:val="modern"/>
    <w:pitch w:val="default"/>
    <w:sig w:usb0="00000000" w:usb1="00000000" w:usb2="00000010" w:usb3="00000000" w:csb0="00040000" w:csb1="00000000"/>
    <w:embedRegular r:id="rId3" w:fontKey="{8A2A27FE-8974-495D-9B82-475E8805AFE8}"/>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auto"/>
    <w:pitch w:val="default"/>
    <w:sig w:usb0="00000001" w:usb1="08000000" w:usb2="00000000" w:usb3="00000000" w:csb0="00040000" w:csb1="00000000"/>
    <w:embedRegular r:id="rId4" w:fontKey="{746C7140-BDCA-499D-B9F4-0ED9D6356341}"/>
  </w:font>
  <w:font w:name="楷体_GB2312">
    <w:altName w:val="楷体"/>
    <w:panose1 w:val="00000000000000000000"/>
    <w:charset w:val="86"/>
    <w:family w:val="modern"/>
    <w:pitch w:val="default"/>
    <w:sig w:usb0="00000000" w:usb1="00000000" w:usb2="00000010" w:usb3="00000000" w:csb0="00040000" w:csb1="00000000"/>
    <w:embedRegular r:id="rId5" w:fontKey="{EB53F082-9BB2-4682-971D-C93A28DD3110}"/>
  </w:font>
  <w:font w:name="方正仿宋简体">
    <w:altName w:val="Arial Unicode MS"/>
    <w:panose1 w:val="02010601030101010101"/>
    <w:charset w:val="86"/>
    <w:family w:val="auto"/>
    <w:pitch w:val="default"/>
    <w:sig w:usb0="00000000" w:usb1="00000000" w:usb2="00000010" w:usb3="00000000" w:csb0="00040000" w:csb1="00000000"/>
    <w:embedRegular r:id="rId6" w:fontKey="{817CB0AE-1DF4-4408-AB0F-F4D896E230C9}"/>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034C63"/>
    <w:rsid w:val="000C79F1"/>
    <w:rsid w:val="001046BB"/>
    <w:rsid w:val="00130781"/>
    <w:rsid w:val="001C6BC6"/>
    <w:rsid w:val="001E5E64"/>
    <w:rsid w:val="001F3AD7"/>
    <w:rsid w:val="002603F2"/>
    <w:rsid w:val="00291918"/>
    <w:rsid w:val="002D3E25"/>
    <w:rsid w:val="002E7D7A"/>
    <w:rsid w:val="0040615C"/>
    <w:rsid w:val="00427240"/>
    <w:rsid w:val="004751BC"/>
    <w:rsid w:val="00516306"/>
    <w:rsid w:val="00543D64"/>
    <w:rsid w:val="0055760A"/>
    <w:rsid w:val="00572F4E"/>
    <w:rsid w:val="005842A2"/>
    <w:rsid w:val="005C6F45"/>
    <w:rsid w:val="0060291D"/>
    <w:rsid w:val="00616DF4"/>
    <w:rsid w:val="006B7B83"/>
    <w:rsid w:val="007135B9"/>
    <w:rsid w:val="00756A65"/>
    <w:rsid w:val="007624FB"/>
    <w:rsid w:val="00786C57"/>
    <w:rsid w:val="007F1400"/>
    <w:rsid w:val="007F26BB"/>
    <w:rsid w:val="00852FA7"/>
    <w:rsid w:val="008F6FBC"/>
    <w:rsid w:val="008F788A"/>
    <w:rsid w:val="009011F0"/>
    <w:rsid w:val="00A25407"/>
    <w:rsid w:val="00A35933"/>
    <w:rsid w:val="00A36A47"/>
    <w:rsid w:val="00AB1E4A"/>
    <w:rsid w:val="00AC3975"/>
    <w:rsid w:val="00AF54E5"/>
    <w:rsid w:val="00BA4DC5"/>
    <w:rsid w:val="00D376BF"/>
    <w:rsid w:val="00D81DE9"/>
    <w:rsid w:val="00E10AB9"/>
    <w:rsid w:val="00E17FFB"/>
    <w:rsid w:val="00E4357F"/>
    <w:rsid w:val="00E90284"/>
    <w:rsid w:val="00EB384A"/>
    <w:rsid w:val="00F251E9"/>
    <w:rsid w:val="00F406A3"/>
    <w:rsid w:val="00F67C8D"/>
    <w:rsid w:val="00F90DB8"/>
    <w:rsid w:val="00F951B3"/>
    <w:rsid w:val="00FC5EE9"/>
    <w:rsid w:val="00FD3EFA"/>
    <w:rsid w:val="00FD62E7"/>
    <w:rsid w:val="12764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 w:type="paragraph" w:customStyle="1" w:styleId="8">
    <w:name w:val="四号正文"/>
    <w:basedOn w:val="1"/>
    <w:link w:val="9"/>
    <w:qFormat/>
    <w:uiPriority w:val="99"/>
    <w:pPr>
      <w:spacing w:line="360" w:lineRule="auto"/>
    </w:pPr>
    <w:rPr>
      <w:rFonts w:ascii="??" w:hAnsi="??" w:eastAsia="宋体"/>
      <w:color w:val="000000"/>
      <w:kern w:val="0"/>
      <w:sz w:val="28"/>
      <w:szCs w:val="21"/>
    </w:rPr>
  </w:style>
  <w:style w:type="character" w:customStyle="1" w:styleId="9">
    <w:name w:val="四号正文 Char"/>
    <w:link w:val="8"/>
    <w:qFormat/>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52C10AF-DD29-4E94-B01F-2974DC4C10D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368</Words>
  <Characters>2102</Characters>
  <Lines>17</Lines>
  <Paragraphs>4</Paragraphs>
  <TotalTime>186</TotalTime>
  <ScaleCrop>false</ScaleCrop>
  <LinksUpToDate>false</LinksUpToDate>
  <CharactersWithSpaces>2466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幻</cp:lastModifiedBy>
  <dcterms:modified xsi:type="dcterms:W3CDTF">2024-01-10T02:40:44Z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A131814407A74B919FA9A94B6E82AE4A_12</vt:lpwstr>
  </property>
</Properties>
</file>