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（2023年耕地轮作休耕项目）</w:t>
      </w:r>
    </w:p>
    <w:p>
      <w:pPr>
        <w:pStyle w:val="9"/>
        <w:spacing w:line="580" w:lineRule="exact"/>
        <w:ind w:firstLine="640"/>
        <w:jc w:val="center"/>
        <w:rPr>
          <w:rFonts w:hint="eastAsia" w:ascii="宋体"/>
          <w:color w:val="auto"/>
          <w:kern w:val="2"/>
          <w:szCs w:val="32"/>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根据四川省财政厅、四川省农业农村厅《关于下达2023年中央财政耕地建设与利用资金有通知》（川财农[2023]49号）和四川省农业农村厅、四川省财政厅《关于做好2023年中央财政粮油生产保障等资金项目实施工作的通知》（川农函[2023]436号）要求，结合绵竹生产实际,制定《绵竹市2023耕地轮作休耕扩种油菜项目实施方案》。</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该项目种植油菜2.98万亩（其中扩种冬油菜1.19万亩）。油菜扩种主要分布在剑南粮油园区的孝德镇年俗村和清道社区、S216沿线园地（林地）腾退地、征而未用地、富新镇周家山和货运大道沿线等区域集中成片种植油菜，同时指导农户利用废旧宅基地种植油菜，确保扩种任务完成。其他轮种由种植户自行确定。</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按照文件要求，参照绵竹市项目支出绩效评价指标体系开展自评。</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根据资金文件要求，2023年中央财政农业资源及生态保护补助资金（耕地轮作休耕制度试点）项目均已申报且审议通过。</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rFonts w:hint="eastAsia" w:ascii="仿宋_GB2312" w:hAnsi="宋体"/>
          <w:sz w:val="28"/>
          <w:lang w:val="zh-CN"/>
        </w:rPr>
      </w:pPr>
      <w:r>
        <w:rPr>
          <w:rFonts w:hint="eastAsia" w:asciiTheme="minorEastAsia" w:hAnsiTheme="minorEastAsia" w:eastAsiaTheme="minorEastAsia" w:cstheme="minorEastAsia"/>
          <w:sz w:val="28"/>
          <w:lang w:val="zh-CN"/>
        </w:rPr>
        <w:t>1．资金计划。</w:t>
      </w:r>
      <w:r>
        <w:rPr>
          <w:rFonts w:hint="eastAsia" w:ascii="仿宋_GB2312" w:hAnsi="宋体"/>
          <w:sz w:val="28"/>
          <w:lang w:val="zh-CN"/>
        </w:rPr>
        <w:t>根据四川省财政厅和四川省农业农村厅相关文件精神，上级下达我市补贴资金447万元，用于油菜产业补贴资金425万元。</w:t>
      </w:r>
    </w:p>
    <w:p>
      <w:pPr>
        <w:adjustRightInd w:val="0"/>
        <w:snapToGrid w:val="0"/>
        <w:spacing w:line="580" w:lineRule="exact"/>
        <w:ind w:firstLine="720"/>
        <w:rPr>
          <w:rFonts w:hint="eastAsia" w:ascii="仿宋_GB2312" w:hAnsi="宋体"/>
          <w:sz w:val="28"/>
          <w:lang w:val="zh-CN"/>
        </w:rPr>
      </w:pPr>
      <w:r>
        <w:rPr>
          <w:rFonts w:hint="eastAsia" w:asciiTheme="minorEastAsia" w:hAnsiTheme="minorEastAsia" w:eastAsiaTheme="minorEastAsia" w:cstheme="minorEastAsia"/>
          <w:sz w:val="28"/>
          <w:lang w:val="zh-CN"/>
        </w:rPr>
        <w:t>2．资金到位。</w:t>
      </w:r>
      <w:r>
        <w:rPr>
          <w:rFonts w:hint="eastAsia" w:ascii="仿宋_GB2312" w:hAnsi="宋体"/>
          <w:sz w:val="28"/>
          <w:lang w:val="zh-CN"/>
        </w:rPr>
        <w:t>资金均已到位。</w:t>
      </w:r>
    </w:p>
    <w:p>
      <w:pPr>
        <w:adjustRightInd w:val="0"/>
        <w:snapToGrid w:val="0"/>
        <w:spacing w:line="580" w:lineRule="exact"/>
        <w:ind w:firstLine="720"/>
        <w:rPr>
          <w:rFonts w:hint="eastAsia" w:ascii="仿宋_GB2312" w:hAnsi="宋体"/>
          <w:sz w:val="28"/>
          <w:lang w:val="zh-CN"/>
        </w:rPr>
      </w:pPr>
      <w:r>
        <w:rPr>
          <w:rFonts w:hint="eastAsia" w:asciiTheme="minorEastAsia" w:hAnsiTheme="minorEastAsia" w:eastAsiaTheme="minorEastAsia" w:cstheme="minorEastAsia"/>
          <w:sz w:val="28"/>
          <w:lang w:val="zh-CN"/>
        </w:rPr>
        <w:t>3．资金使用。</w:t>
      </w:r>
      <w:r>
        <w:rPr>
          <w:rFonts w:hint="eastAsia" w:ascii="仿宋_GB2312" w:hAnsi="宋体"/>
          <w:sz w:val="28"/>
          <w:lang w:val="zh-CN"/>
        </w:rPr>
        <w:t>资金严格按照要求，共计支付425万元。</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根据项目管理要求，明确补助对象、补助标准、补助方式、实施要求和监管措施。财务管理制度健全，严格执行财务管理制度，账务处理及时，会计核算规范。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结合项目组织实施管理办法，重点围绕以下内容进行分析评价，并对自评中发现的问题分析说明。</w:t>
      </w:r>
    </w:p>
    <w:p>
      <w:pPr>
        <w:numPr>
          <w:ilvl w:val="0"/>
          <w:numId w:val="1"/>
        </w:num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项目组织架构及实施流程。</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根据《绵竹市2023年耕地轮作休耕扩种油菜项目实施方案》，严格执行补贴对象、标准、方式及补贴内容等工作要求，为准确核实油菜种植情况提出种植户下载MAP智农软件绘制油菜种植田块分布图，核算补贴标准后由各镇（街道）发放补贴。</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r>
        <w:rPr>
          <w:rFonts w:hint="eastAsia" w:ascii="仿宋_GB2312" w:hAnsi="宋体"/>
          <w:sz w:val="28"/>
          <w:lang w:val="zh-CN"/>
        </w:rPr>
        <w:t>实行补贴面积和补贴资金公示制。</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sz w:val="28"/>
          <w:lang w:val="zh-CN"/>
        </w:rPr>
        <w:t>实行补贴面积和补贴资金公示制，保证补贴资金公开透明，形成群众监管的长效机制。</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rPr>
          <w:rFonts w:hint="eastAsia" w:ascii="仿宋_GB2312" w:hAnsi="宋体"/>
          <w:sz w:val="28"/>
          <w:lang w:val="zh-CN"/>
        </w:rPr>
      </w:pPr>
      <w:r>
        <w:rPr>
          <w:rFonts w:hint="eastAsia" w:ascii="仿宋_GB2312" w:hAnsi="宋体"/>
          <w:sz w:val="28"/>
          <w:lang w:val="zh-CN"/>
        </w:rPr>
        <w:t xml:space="preserve">    截至目前补贴面积已全部验收完成，发放工作正在进行报账程序，预计2024年1月完成补贴发放。</w:t>
      </w:r>
      <w:bookmarkStart w:id="0" w:name="_GoBack"/>
      <w:bookmarkEnd w:id="0"/>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一是虽然纯种植油菜收获油菜籽的收益低于种植小麦的收入，但对于菜—油两用的种植户经济收入高，如什地镇绵河村的农户：1亩菜苔500公斤左右，每吨7000元，菜苔收入3500余元；亩收油菜75公斤，5.6元/公斤，有420元，经济收入高，虽然人工费用和种植户付出成本高。总体经济效益好。</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二是促进农旅结合，提升油菜种植综合效益。</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560" w:firstLineChars="200"/>
        <w:rPr>
          <w:rFonts w:ascii="仿宋_GB2312" w:hAnsi="宋体"/>
          <w:sz w:val="28"/>
          <w:bdr w:val="single" w:color="auto" w:sz="4" w:space="0"/>
          <w:lang w:val="zh-CN"/>
        </w:rPr>
      </w:pPr>
      <w:r>
        <w:rPr>
          <w:rFonts w:hint="eastAsia" w:ascii="仿宋_GB2312" w:hAnsi="宋体"/>
          <w:sz w:val="28"/>
          <w:lang w:val="zh-CN"/>
        </w:rPr>
        <w:t>完成补贴资金的发放，促进农旅结合，提升油菜种植综合效益，提高农业总体经济效益。</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1、土壤酸化较严重，油菜根肿病发病率较高。土壤检测数据显示，全市酸性土壤的比例比1982年第二次土壤普查数据高13个百分点。土壤酸化的直接结果就是我市作为十字花科作物的油菜根肿病发病率较高，难以获得高产。</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加快科研攻关，提高油菜种植机械化水平。我市除少量自留地油菜外，其余多数为水田油菜，油菜播种时期正值秋雨绵绵，对机械化播种设备要求高。收获油菜正值抢收抢种的“双抢”时期，为此研究和组装轻简化栽培技术，一是要有适应机收的品种，二是要有适应川西平原机播的机具显得尤其重要。</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3、油菜订单发展难度大。虽然我市有绵竹富王粮油有限责任公司、四川省剑龙粮油有限责任公司和绵竹市骏王粮油有限责任公司，但目前均没加入“天府菜油”产业联盟，油菜订单发展严重影响油菜产业的发展。</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粮食作物与油菜争地现象较突出，建议统筹考虑粮食播种面积和扩种油菜面积的考核指标。</w:t>
      </w:r>
    </w:p>
    <w:p>
      <w:pPr>
        <w:adjustRightInd w:val="0"/>
        <w:snapToGrid w:val="0"/>
        <w:spacing w:line="580" w:lineRule="exact"/>
        <w:ind w:firstLine="560" w:firstLineChars="200"/>
        <w:rPr>
          <w:rFonts w:ascii="仿宋_GB2312" w:hAnsi="宋体"/>
          <w:sz w:val="28"/>
          <w:lang w:val="zh-CN"/>
        </w:rPr>
      </w:pPr>
    </w:p>
    <w:p>
      <w:pPr>
        <w:adjustRightInd w:val="0"/>
        <w:snapToGrid w:val="0"/>
        <w:spacing w:line="580" w:lineRule="exact"/>
        <w:ind w:firstLine="560" w:firstLineChars="200"/>
        <w:rPr>
          <w:rFonts w:ascii="仿宋_GB2312" w:hAnsi="宋体"/>
          <w:sz w:val="28"/>
          <w:lang w:val="zh-CN"/>
        </w:rPr>
      </w:pPr>
    </w:p>
    <w:p>
      <w:pPr>
        <w:adjustRightInd w:val="0"/>
        <w:snapToGrid w:val="0"/>
        <w:spacing w:line="580" w:lineRule="exact"/>
        <w:ind w:firstLine="560" w:firstLineChars="200"/>
        <w:rPr>
          <w:rFonts w:ascii="仿宋_GB2312" w:hAnsi="宋体"/>
          <w:sz w:val="28"/>
          <w:lang w:val="zh-CN"/>
        </w:rPr>
      </w:pPr>
    </w:p>
    <w:p>
      <w:pPr>
        <w:adjustRightInd w:val="0"/>
        <w:snapToGrid w:val="0"/>
        <w:spacing w:line="580" w:lineRule="exact"/>
        <w:ind w:firstLine="560" w:firstLineChars="200"/>
        <w:jc w:val="right"/>
        <w:rPr>
          <w:rFonts w:ascii="仿宋_GB2312" w:hAnsi="宋体"/>
          <w:sz w:val="28"/>
        </w:rPr>
      </w:pPr>
      <w:r>
        <w:rPr>
          <w:rFonts w:hint="eastAsia" w:ascii="仿宋_GB2312" w:hAnsi="宋体"/>
          <w:sz w:val="28"/>
        </w:rPr>
        <w:t>2024年1月8日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AEBF12-ACE9-44BC-B868-F298B5347AF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8A3F3A7-7386-4883-B5DE-77DD18599C73}"/>
  </w:font>
  <w:font w:name="仿宋_GB2312">
    <w:altName w:val="仿宋"/>
    <w:panose1 w:val="02010609030101010101"/>
    <w:charset w:val="86"/>
    <w:family w:val="modern"/>
    <w:pitch w:val="default"/>
    <w:sig w:usb0="00000000" w:usb1="00000000" w:usb2="00000010" w:usb3="00000000" w:csb0="00040000" w:csb1="00000000"/>
    <w:embedRegular r:id="rId3" w:fontKey="{D6067693-5296-4B08-A1FD-D03A7C8FFC06}"/>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4" w:fontKey="{D1259D26-AA4C-4732-8033-FEAEB943EA0A}"/>
  </w:font>
  <w:font w:name="楷体_GB2312">
    <w:altName w:val="楷体"/>
    <w:panose1 w:val="00000000000000000000"/>
    <w:charset w:val="86"/>
    <w:family w:val="modern"/>
    <w:pitch w:val="default"/>
    <w:sig w:usb0="00000000" w:usb1="00000000" w:usb2="00000010" w:usb3="00000000" w:csb0="00040000" w:csb1="00000000"/>
    <w:embedRegular r:id="rId5" w:fontKey="{79431B3C-72D6-443D-A334-8FA71B3A8B48}"/>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1A205E"/>
    <w:multiLevelType w:val="singleLevel"/>
    <w:tmpl w:val="771A20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042D33"/>
    <w:rsid w:val="001C6BC6"/>
    <w:rsid w:val="00254429"/>
    <w:rsid w:val="00277C71"/>
    <w:rsid w:val="00291918"/>
    <w:rsid w:val="002E7D7A"/>
    <w:rsid w:val="00392056"/>
    <w:rsid w:val="00427240"/>
    <w:rsid w:val="00441B51"/>
    <w:rsid w:val="00513487"/>
    <w:rsid w:val="00516306"/>
    <w:rsid w:val="00543D64"/>
    <w:rsid w:val="00572F4E"/>
    <w:rsid w:val="005842A2"/>
    <w:rsid w:val="005A143E"/>
    <w:rsid w:val="006E5596"/>
    <w:rsid w:val="00850AB0"/>
    <w:rsid w:val="008F6FBC"/>
    <w:rsid w:val="008F788A"/>
    <w:rsid w:val="009464FC"/>
    <w:rsid w:val="00A25407"/>
    <w:rsid w:val="00A36A47"/>
    <w:rsid w:val="00AB1E4A"/>
    <w:rsid w:val="00AC3975"/>
    <w:rsid w:val="00D7099B"/>
    <w:rsid w:val="00E10AB9"/>
    <w:rsid w:val="00E4357F"/>
    <w:rsid w:val="00E53945"/>
    <w:rsid w:val="00E90284"/>
    <w:rsid w:val="00EC1038"/>
    <w:rsid w:val="00F251E9"/>
    <w:rsid w:val="00F43CA3"/>
    <w:rsid w:val="00F67C8D"/>
    <w:rsid w:val="00F951B3"/>
    <w:rsid w:val="00FD3EFA"/>
    <w:rsid w:val="00FD62E7"/>
    <w:rsid w:val="01F01E3C"/>
    <w:rsid w:val="0FED7A66"/>
    <w:rsid w:val="3D5152F3"/>
    <w:rsid w:val="524577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heme="minorHAnsi" w:hAnsiTheme="minorHAnsi" w:eastAsiaTheme="minorEastAsia" w:cstheme="minorBidi"/>
      <w:sz w:val="21"/>
      <w:szCs w:val="24"/>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四号正文"/>
    <w:basedOn w:val="1"/>
    <w:link w:val="10"/>
    <w:autoRedefine/>
    <w:uiPriority w:val="99"/>
    <w:pPr>
      <w:spacing w:line="360" w:lineRule="auto"/>
    </w:pPr>
    <w:rPr>
      <w:rFonts w:ascii="??" w:hAnsi="??" w:eastAsia="宋体"/>
      <w:color w:val="000000"/>
      <w:kern w:val="0"/>
      <w:sz w:val="28"/>
      <w:szCs w:val="21"/>
    </w:rPr>
  </w:style>
  <w:style w:type="character" w:customStyle="1" w:styleId="10">
    <w:name w:val="四号正文 Char"/>
    <w:link w:val="9"/>
    <w:qFormat/>
    <w:locked/>
    <w:uiPriority w:val="99"/>
    <w:rPr>
      <w:rFonts w:ascii="??" w:hAnsi="??" w:eastAsia="宋体" w:cs="Times New Roman"/>
      <w:color w:val="000000"/>
      <w:kern w:val="0"/>
      <w:sz w:val="28"/>
      <w:szCs w:val="21"/>
    </w:rPr>
  </w:style>
  <w:style w:type="paragraph" w:styleId="11">
    <w:name w:val="List Paragraph"/>
    <w:basedOn w:val="1"/>
    <w:autoRedefine/>
    <w:qFormat/>
    <w:uiPriority w:val="34"/>
    <w:pPr>
      <w:ind w:firstLine="420" w:firstLineChars="200"/>
    </w:pPr>
    <w:rPr>
      <w:rFonts w:asciiTheme="minorHAnsi" w:hAnsiTheme="minorHAnsi" w:eastAsiaTheme="minorEastAsia" w:cstheme="minorBidi"/>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250</Words>
  <Characters>1429</Characters>
  <Lines>11</Lines>
  <Paragraphs>3</Paragraphs>
  <TotalTime>18</TotalTime>
  <ScaleCrop>false</ScaleCrop>
  <LinksUpToDate>false</LinksUpToDate>
  <CharactersWithSpaces>1676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2024-01-08T02:37:00Z</dcterms:created>
  <dc:creator>opi</dc:creator>
  <cp:lastModifiedBy>幻</cp:lastModifiedBy>
  <dcterms:modified xsi:type="dcterms:W3CDTF">2024-01-15T07:55:18Z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D0F8B854C496474981C52D3A181B9F43_13</vt:lpwstr>
  </property>
</Properties>
</file>