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2022年</w:t>
      </w:r>
      <w:r>
        <w:rPr>
          <w:rFonts w:hint="eastAsia" w:ascii="方正小标宋简体" w:eastAsia="方正小标宋简体"/>
          <w:sz w:val="44"/>
          <w:szCs w:val="44"/>
        </w:rPr>
        <w:t>省级财政乡村振兴共同财政事权转移支付--稳固生猪生产奖补资金项目支出绩效自评报告</w:t>
      </w:r>
    </w:p>
    <w:p>
      <w:pPr>
        <w:pStyle w:val="9"/>
        <w:spacing w:line="580" w:lineRule="exact"/>
        <w:ind w:firstLine="640"/>
        <w:jc w:val="center"/>
        <w:rPr>
          <w:rFonts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hint="default" w:eastAsia="仿宋_GB2312"/>
          <w:lang w:val="en-US" w:eastAsia="zh-CN"/>
        </w:rPr>
      </w:pPr>
      <w:r>
        <w:rPr>
          <w:rFonts w:hint="eastAsia"/>
        </w:rPr>
        <w:t>根据《</w:t>
      </w:r>
      <w:r>
        <w:rPr>
          <w:rFonts w:hint="eastAsia" w:ascii="Times New Roman" w:hAnsi="Times New Roman" w:eastAsia="仿宋_GB2312" w:cs="Times New Roman"/>
          <w:kern w:val="2"/>
          <w:sz w:val="32"/>
          <w:szCs w:val="32"/>
          <w:lang w:val="en-US" w:eastAsia="zh-CN" w:bidi="ar-SA"/>
        </w:rPr>
        <w:t>根据《四川省财政厅、四川省农业农村厅2022年省级财政乡村振兴共同财政事权转移支付资金</w:t>
      </w:r>
      <w:r>
        <w:rPr>
          <w:rFonts w:hint="eastAsia" w:ascii="Times New Roman" w:hAnsi="Times New Roman" w:cs="Times New Roman"/>
          <w:kern w:val="2"/>
          <w:sz w:val="32"/>
          <w:szCs w:val="32"/>
          <w:lang w:val="en-US" w:eastAsia="zh-CN" w:bidi="ar-SA"/>
        </w:rPr>
        <w:t>的</w:t>
      </w:r>
      <w:r>
        <w:rPr>
          <w:rFonts w:hint="eastAsia" w:ascii="Times New Roman" w:hAnsi="Times New Roman" w:eastAsia="仿宋_GB2312" w:cs="Times New Roman"/>
          <w:kern w:val="2"/>
          <w:sz w:val="32"/>
          <w:szCs w:val="32"/>
          <w:lang w:val="en-US" w:eastAsia="zh-CN" w:bidi="ar-SA"/>
        </w:rPr>
        <w:t>通知》</w:t>
      </w:r>
      <w:r>
        <w:rPr>
          <w:rFonts w:hint="eastAsia"/>
        </w:rPr>
        <w:t>202</w:t>
      </w:r>
      <w:r>
        <w:rPr>
          <w:rFonts w:hint="eastAsia"/>
          <w:lang w:val="en-US" w:eastAsia="zh-CN"/>
        </w:rPr>
        <w:t>2</w:t>
      </w:r>
      <w:r>
        <w:rPr>
          <w:rFonts w:hint="eastAsia"/>
        </w:rPr>
        <w:t>年</w:t>
      </w:r>
      <w:r>
        <w:rPr>
          <w:rFonts w:hint="eastAsia"/>
          <w:lang w:eastAsia="zh-CN"/>
        </w:rPr>
        <w:t>稳固生猪生产奖补资金</w:t>
      </w:r>
      <w:r>
        <w:rPr>
          <w:rFonts w:hint="eastAsia"/>
        </w:rPr>
        <w:t>补贴</w:t>
      </w:r>
      <w:r>
        <w:rPr>
          <w:rFonts w:hint="eastAsia"/>
          <w:lang w:val="en-US" w:eastAsia="zh-CN"/>
        </w:rPr>
        <w:t>198</w:t>
      </w:r>
      <w:r>
        <w:rPr>
          <w:rFonts w:hint="eastAsia"/>
        </w:rPr>
        <w:t>万元</w:t>
      </w:r>
      <w:r>
        <w:rPr>
          <w:rFonts w:hint="eastAsia"/>
          <w:lang w:eastAsia="zh-CN"/>
        </w:rPr>
        <w:t>，绵竹市财政配套</w:t>
      </w:r>
      <w:r>
        <w:rPr>
          <w:rFonts w:hint="eastAsia"/>
          <w:lang w:val="en-US" w:eastAsia="zh-CN"/>
        </w:rPr>
        <w:t>150万元，共计348万元，项目资金主要用于能繁母猪补贴、能繁母猪政策性保险补助、生猪出栏补贴和生猪产能调控基地补贴。</w:t>
      </w:r>
    </w:p>
    <w:p>
      <w:pPr>
        <w:adjustRightInd w:val="0"/>
        <w:snapToGrid w:val="0"/>
        <w:spacing w:line="580" w:lineRule="exact"/>
        <w:ind w:firstLine="643" w:firstLineChars="20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hint="eastAsia"/>
        </w:rPr>
      </w:pPr>
      <w:r>
        <w:rPr>
          <w:rFonts w:hint="eastAsia"/>
        </w:rPr>
        <w:t>一是对已授牌的2022年“国家级生猪产能调控基地”“省级生猪产能调控基地”给予一次性奖补。二是对年出栏达500头符合补助条件的生猪规模场按照1万元/个的标准给予一次性补助。三是根据保险公司2022年养殖户投保能繁母猪政策性保险情况，对能繁母猪保费中养殖户自缴部分按照18元/头给予一次性补贴。四是对2022年饲养有能繁母猪的养殖户按照100元/头给予一次性补助。</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adjustRightInd w:val="0"/>
        <w:snapToGrid w:val="0"/>
        <w:spacing w:line="580" w:lineRule="exact"/>
        <w:ind w:firstLine="640" w:firstLineChars="200"/>
        <w:rPr>
          <w:rFonts w:ascii="黑体" w:hAnsi="宋体" w:eastAsia="黑体"/>
        </w:rPr>
      </w:pPr>
      <w:r>
        <w:rPr>
          <w:rFonts w:hint="eastAsia" w:ascii="仿宋_GB2312" w:hAnsi="仿宋_GB2312" w:cs="仿宋_GB2312"/>
        </w:rPr>
        <w:t>一是为全面了解工作开展情况及工作成效，加强对补贴对象管理，严格监督资金使用，对补贴工作的自评。二是以</w:t>
      </w:r>
      <w:r>
        <w:rPr>
          <w:rFonts w:hint="eastAsia" w:ascii="仿宋_GB2312" w:hAnsi="仿宋_GB2312" w:cs="仿宋_GB2312"/>
          <w:lang w:eastAsia="zh-CN"/>
        </w:rPr>
        <w:t>养猪户</w:t>
      </w:r>
      <w:r>
        <w:rPr>
          <w:rFonts w:hint="eastAsia" w:ascii="仿宋_GB2312" w:hAnsi="仿宋_GB2312" w:cs="仿宋_GB2312"/>
        </w:rPr>
        <w:t>补贴工作的工作量、服务对象满意度、促进农业产业发展成效等为主要考核标准，对2022年</w:t>
      </w:r>
      <w:r>
        <w:rPr>
          <w:rFonts w:hint="eastAsia" w:ascii="仿宋_GB2312" w:hAnsi="仿宋_GB2312" w:cs="仿宋_GB2312"/>
          <w:lang w:eastAsia="zh-CN"/>
        </w:rPr>
        <w:t>稳固生猪生产</w:t>
      </w:r>
      <w:r>
        <w:rPr>
          <w:rFonts w:hint="eastAsia" w:ascii="仿宋_GB2312" w:hAnsi="仿宋_GB2312" w:cs="仿宋_GB2312"/>
        </w:rPr>
        <w:t>补贴项目工作绩效考评。</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480" w:firstLineChars="150"/>
      </w:pPr>
      <w:r>
        <w:rPr>
          <w:rFonts w:ascii="仿宋_GB2312" w:hAnsi="宋体"/>
          <w:lang w:val="zh-CN"/>
        </w:rPr>
        <w:t xml:space="preserve">    </w:t>
      </w:r>
      <w:r>
        <w:rPr>
          <w:rFonts w:hint="eastAsia"/>
        </w:rPr>
        <w:t>根据《</w:t>
      </w:r>
      <w:r>
        <w:rPr>
          <w:rFonts w:hint="eastAsia" w:ascii="Times New Roman" w:hAnsi="Times New Roman" w:eastAsia="仿宋_GB2312" w:cs="Times New Roman"/>
          <w:kern w:val="2"/>
          <w:sz w:val="32"/>
          <w:szCs w:val="32"/>
          <w:lang w:val="en-US" w:eastAsia="zh-CN" w:bidi="ar-SA"/>
        </w:rPr>
        <w:t>根据《四川省财政厅、四川省农业农村厅2022年省级财政乡村振兴共同财政事权转移支付资金</w:t>
      </w:r>
      <w:r>
        <w:rPr>
          <w:rFonts w:hint="eastAsia" w:ascii="Times New Roman" w:hAnsi="Times New Roman" w:cs="Times New Roman"/>
          <w:kern w:val="2"/>
          <w:sz w:val="32"/>
          <w:szCs w:val="32"/>
          <w:lang w:val="en-US" w:eastAsia="zh-CN" w:bidi="ar-SA"/>
        </w:rPr>
        <w:t>的</w:t>
      </w:r>
      <w:r>
        <w:rPr>
          <w:rFonts w:hint="eastAsia" w:ascii="Times New Roman" w:hAnsi="Times New Roman" w:eastAsia="仿宋_GB2312" w:cs="Times New Roman"/>
          <w:kern w:val="2"/>
          <w:sz w:val="32"/>
          <w:szCs w:val="32"/>
          <w:lang w:val="en-US" w:eastAsia="zh-CN" w:bidi="ar-SA"/>
        </w:rPr>
        <w:t>通知》</w:t>
      </w:r>
      <w:r>
        <w:rPr>
          <w:rFonts w:hint="eastAsia"/>
        </w:rPr>
        <w:t>202</w:t>
      </w:r>
      <w:r>
        <w:rPr>
          <w:rFonts w:hint="eastAsia"/>
          <w:lang w:val="en-US" w:eastAsia="zh-CN"/>
        </w:rPr>
        <w:t>2</w:t>
      </w:r>
      <w:r>
        <w:rPr>
          <w:rFonts w:hint="eastAsia"/>
        </w:rPr>
        <w:t>年</w:t>
      </w:r>
      <w:r>
        <w:rPr>
          <w:rFonts w:hint="eastAsia"/>
          <w:lang w:eastAsia="zh-CN"/>
        </w:rPr>
        <w:t>稳固生猪生产奖补资金</w:t>
      </w:r>
      <w:r>
        <w:rPr>
          <w:rFonts w:hint="eastAsia"/>
        </w:rPr>
        <w:t>补贴</w:t>
      </w:r>
      <w:r>
        <w:rPr>
          <w:rFonts w:hint="eastAsia"/>
          <w:lang w:val="en-US" w:eastAsia="zh-CN"/>
        </w:rPr>
        <w:t>198</w:t>
      </w:r>
      <w:r>
        <w:rPr>
          <w:rFonts w:hint="eastAsia"/>
        </w:rPr>
        <w:t>万元</w:t>
      </w:r>
      <w:r>
        <w:rPr>
          <w:rFonts w:hint="eastAsia"/>
          <w:lang w:eastAsia="zh-CN"/>
        </w:rPr>
        <w:t>，绵竹市财政配套</w:t>
      </w:r>
      <w:r>
        <w:rPr>
          <w:rFonts w:hint="eastAsia"/>
          <w:lang w:val="en-US" w:eastAsia="zh-CN"/>
        </w:rPr>
        <w:t>150万元，共计348万元</w:t>
      </w:r>
      <w:r>
        <w:rPr>
          <w:rFonts w:hint="eastAsia"/>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（二）资金计划、到位及使用情况（可用表格形式反映）。</w:t>
      </w:r>
    </w:p>
    <w:p>
      <w:pPr>
        <w:adjustRightInd w:val="0"/>
        <w:snapToGrid w:val="0"/>
        <w:spacing w:line="580" w:lineRule="exact"/>
        <w:ind w:firstLine="640" w:firstLineChars="200"/>
      </w:pPr>
      <w:r>
        <w:rPr>
          <w:rFonts w:hint="eastAsia"/>
        </w:rPr>
        <w:t>202</w:t>
      </w:r>
      <w:r>
        <w:rPr>
          <w:rFonts w:hint="eastAsia"/>
          <w:lang w:val="en-US" w:eastAsia="zh-CN"/>
        </w:rPr>
        <w:t>2</w:t>
      </w:r>
      <w:r>
        <w:rPr>
          <w:rFonts w:hint="eastAsia"/>
        </w:rPr>
        <w:t>年资金计划、到位及使用情况：根据</w:t>
      </w:r>
      <w:r>
        <w:rPr>
          <w:rFonts w:hint="eastAsia"/>
          <w:lang w:eastAsia="zh-CN"/>
        </w:rPr>
        <w:t>绵竹市人民政府十九届十七次常务会议议定事项通知和</w:t>
      </w:r>
      <w:r>
        <w:rPr>
          <w:rFonts w:hint="eastAsia" w:ascii="Times New Roman" w:hAnsi="Times New Roman" w:cs="Times New Roman"/>
        </w:rPr>
        <w:t>《</w:t>
      </w:r>
      <w:r>
        <w:rPr>
          <w:rFonts w:hint="eastAsia" w:ascii="Times New Roman" w:hAnsi="Times New Roman" w:cs="Times New Roman"/>
          <w:lang w:val="en-US" w:eastAsia="zh-CN"/>
        </w:rPr>
        <w:t>绵竹市2022年稳固生猪生产奖补资金使用方案</w:t>
      </w:r>
      <w:r>
        <w:rPr>
          <w:rFonts w:hint="eastAsia" w:ascii="Times New Roman" w:hAnsi="Times New Roman" w:cs="Times New Roman"/>
        </w:rPr>
        <w:t>》的要求，在绵竹市区域内</w:t>
      </w:r>
      <w:r>
        <w:rPr>
          <w:rFonts w:hint="eastAsia" w:ascii="Times New Roman" w:hAnsi="Times New Roman" w:cs="Times New Roman"/>
          <w:lang w:val="en-US" w:eastAsia="zh-CN"/>
        </w:rPr>
        <w:t>一是对已授牌的2022年“国家级生猪产能调控基地”给予一次性奖补10万元/个，“省级生猪产能调控基地”给予一次性奖补5万元/个。二是根据“智慧动监平台”上养殖场2022年度出票头数情况，对年出栏达500头符合补助条件的生猪规模场按照1万元/个的标准给予一次性补助。三是根据保险公司2022年养殖户投保能繁母猪政策性保险情况，对能繁母猪保费中养殖户自缴部分按照18元/头给予一次性补贴。四是对2022年饲养有能繁母猪的养殖户按照100元/头给予一次性补助</w:t>
      </w:r>
      <w:r>
        <w:rPr>
          <w:rFonts w:hint="eastAsia"/>
        </w:rPr>
        <w:t>。</w:t>
      </w:r>
    </w:p>
    <w:p>
      <w:pPr>
        <w:adjustRightInd w:val="0"/>
        <w:snapToGrid w:val="0"/>
        <w:spacing w:line="580" w:lineRule="exact"/>
        <w:ind w:firstLine="640" w:firstLineChars="200"/>
      </w:pPr>
      <w:r>
        <w:rPr>
          <w:rFonts w:hint="eastAsia"/>
        </w:rPr>
        <w:t>使用情况：</w:t>
      </w:r>
      <w:r>
        <w:rPr>
          <w:rFonts w:hint="eastAsia" w:ascii="Times New Roman" w:hAnsi="Times New Roman" w:cs="Times New Roman"/>
          <w:lang w:val="en-US" w:eastAsia="zh-CN"/>
        </w:rPr>
        <w:t>全市奖补国家级生猪产能调控基地2个，共20万元，奖补省级生猪产能调控基地2个，共10万元，奖补2022年出栏达500头的规模养殖场47个，共47万元，奖补2022年养猪户饲养的能繁母猪11689头，共116.89万元，补贴2022年养殖户投保能繁母猪政策性保险10050头，共18.09万元，以上合计211.98万元，实现绩效目标。</w:t>
      </w:r>
    </w:p>
    <w:p>
      <w:pPr>
        <w:ind w:firstLine="643" w:firstLineChars="200"/>
      </w:pPr>
      <w:r>
        <w:rPr>
          <w:rFonts w:hint="eastAsia" w:ascii="楷体_GB2312" w:hAnsi="宋体" w:eastAsia="楷体_GB2312"/>
          <w:b/>
          <w:lang w:val="zh-CN"/>
        </w:rPr>
        <w:t>（三）项目财务管理情况。</w:t>
      </w:r>
    </w:p>
    <w:p>
      <w:pPr>
        <w:widowControl/>
        <w:spacing w:line="520" w:lineRule="exact"/>
        <w:ind w:firstLine="640" w:firstLineChars="200"/>
        <w:rPr>
          <w:rFonts w:ascii="仿宋_GB2312" w:hAnsi="仿宋_GB2312" w:cs="仿宋_GB2312"/>
        </w:rPr>
      </w:pPr>
      <w:r>
        <w:rPr>
          <w:rFonts w:hint="eastAsia" w:ascii="仿宋_GB2312" w:hAnsi="仿宋_GB2312" w:cs="仿宋_GB2312"/>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基层农技推广体系改革与建设项目资金的使用和管理按制度执行。</w:t>
      </w:r>
    </w:p>
    <w:p>
      <w:pPr>
        <w:widowControl/>
        <w:spacing w:line="520" w:lineRule="exact"/>
        <w:ind w:firstLine="640" w:firstLineChars="200"/>
        <w:rPr>
          <w:rFonts w:ascii="仿宋_GB2312" w:hAnsi="仿宋_GB2312" w:cs="仿宋_GB2312"/>
          <w:lang w:val="zh-CN"/>
        </w:rPr>
      </w:pPr>
      <w:r>
        <w:rPr>
          <w:rFonts w:hint="eastAsia" w:ascii="仿宋_GB2312" w:hAnsi="仿宋_GB2312" w:cs="仿宋_GB2312"/>
        </w:rPr>
        <w:t>该项目严格按照实施方案的进度安排有序推进工作，资金管理做到专款专用、合理合规，采取报帐制进行管理，按资金使用方案进行开支。</w:t>
      </w:r>
      <w:r>
        <w:rPr>
          <w:rFonts w:hint="eastAsia" w:ascii="仿宋_GB2312" w:hAnsi="仿宋_GB2312" w:cs="仿宋_GB2312"/>
          <w:lang w:val="zh-CN"/>
        </w:rPr>
        <w:t>财务管理制度健全，严格执行财务管理制度，账务处理及时，会计核算规范。</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720"/>
        <w:rPr>
          <w:rFonts w:ascii="仿宋_GB2312" w:hAnsi="宋体"/>
          <w:lang w:val="zh-CN"/>
        </w:rPr>
      </w:pPr>
      <w:r>
        <w:rPr>
          <w:rFonts w:hint="eastAsia" w:ascii="仿宋_GB2312" w:hAnsi="宋体"/>
          <w:lang w:val="zh-CN"/>
        </w:rPr>
        <w:t>结合项目组织实施管理办法，重点围绕以下内容进行分析评价，并对自评中发现的问题分析说明。</w:t>
      </w:r>
    </w:p>
    <w:p>
      <w:pPr>
        <w:adjustRightInd w:val="0"/>
        <w:snapToGrid w:val="0"/>
        <w:spacing w:line="580" w:lineRule="exact"/>
        <w:ind w:firstLine="720"/>
        <w:rPr>
          <w:rFonts w:ascii="楷体_GB2312" w:hAnsi="宋体" w:eastAsia="楷体_GB2312"/>
          <w:b/>
          <w:color w:val="000000" w:themeColor="text1"/>
          <w:lang w:val="zh-CN"/>
        </w:rPr>
      </w:pPr>
      <w:r>
        <w:rPr>
          <w:rFonts w:hint="eastAsia" w:ascii="楷体_GB2312" w:hAnsi="宋体" w:eastAsia="楷体_GB2312"/>
          <w:b/>
          <w:lang w:val="zh-CN"/>
        </w:rPr>
        <w:t>（</w:t>
      </w:r>
      <w:r>
        <w:rPr>
          <w:rFonts w:hint="eastAsia" w:ascii="楷体_GB2312" w:hAnsi="宋体" w:eastAsia="楷体_GB2312"/>
          <w:b/>
          <w:color w:val="000000" w:themeColor="text1"/>
          <w:lang w:val="zh-CN"/>
        </w:rPr>
        <w:t>一）项目组织架构及实施流程。</w:t>
      </w:r>
    </w:p>
    <w:p>
      <w:pPr>
        <w:adjustRightInd w:val="0"/>
        <w:snapToGrid w:val="0"/>
        <w:spacing w:line="580" w:lineRule="exact"/>
        <w:ind w:firstLine="720"/>
        <w:rPr>
          <w:rFonts w:ascii="楷体_GB2312" w:hAnsi="宋体" w:eastAsia="楷体_GB2312"/>
          <w:color w:val="000000" w:themeColor="text1"/>
          <w:lang w:val="zh-CN"/>
        </w:rPr>
      </w:pPr>
      <w:r>
        <w:rPr>
          <w:rFonts w:hint="eastAsia" w:ascii="楷体_GB2312" w:hAnsi="宋体" w:eastAsia="楷体_GB2312"/>
          <w:b/>
          <w:color w:val="000000" w:themeColor="text1"/>
          <w:lang w:val="zh-CN"/>
        </w:rPr>
        <w:t>1.项目组织架构及流程</w:t>
      </w:r>
    </w:p>
    <w:p>
      <w:pPr>
        <w:adjustRightInd w:val="0"/>
        <w:snapToGrid w:val="0"/>
        <w:spacing w:line="580" w:lineRule="exact"/>
        <w:ind w:firstLine="720"/>
        <w:rPr>
          <w:rFonts w:ascii="楷体_GB2312" w:hAnsi="宋体" w:eastAsia="楷体_GB2312"/>
          <w:lang w:val="zh-CN"/>
        </w:rPr>
      </w:pPr>
      <w:r>
        <w:rPr>
          <w:rFonts w:hint="eastAsia"/>
        </w:rPr>
        <w:t>流程：由农户申报，村镇初步核实</w:t>
      </w:r>
      <w:r>
        <w:rPr>
          <w:rFonts w:hint="eastAsia"/>
          <w:lang w:eastAsia="zh-CN"/>
        </w:rPr>
        <w:t>公示后</w:t>
      </w:r>
      <w:r>
        <w:rPr>
          <w:rFonts w:hint="eastAsia"/>
        </w:rPr>
        <w:t>，农业农村局汇总</w:t>
      </w:r>
      <w:r>
        <w:rPr>
          <w:rFonts w:hint="eastAsia"/>
          <w:lang w:eastAsia="zh-CN"/>
        </w:rPr>
        <w:t>后，经局党组会批准后</w:t>
      </w:r>
      <w:r>
        <w:rPr>
          <w:rFonts w:hint="eastAsia"/>
        </w:rPr>
        <w:t>发放</w:t>
      </w:r>
      <w:r>
        <w:rPr>
          <w:rFonts w:hint="eastAsia"/>
          <w:lang w:eastAsia="zh-CN"/>
        </w:rPr>
        <w:t>至农户“一卡通”</w:t>
      </w:r>
      <w:r>
        <w:rPr>
          <w:rFonts w:hint="eastAsia"/>
        </w:rPr>
        <w:t>。</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（二）项目管理情况。</w:t>
      </w:r>
      <w:r>
        <w:rPr>
          <w:rFonts w:hint="eastAsia" w:ascii="仿宋_GB2312" w:hAnsi="宋体"/>
          <w:lang w:val="zh-CN"/>
        </w:rPr>
        <w:t>结合项目特点，总体评价各项目实施单位执行相关法律法规及项目管理制度等情况，如招投标、政府采购、项目公示制等相关规定。</w:t>
      </w:r>
    </w:p>
    <w:p>
      <w:pPr>
        <w:adjustRightInd w:val="0"/>
        <w:snapToGrid w:val="0"/>
        <w:spacing w:line="580" w:lineRule="exact"/>
        <w:ind w:firstLine="720"/>
        <w:rPr>
          <w:rFonts w:ascii="仿宋_GB2312" w:hAnsi="宋体"/>
          <w:color w:val="FF0000"/>
          <w:lang w:val="zh-CN"/>
        </w:rPr>
      </w:pPr>
      <w:r>
        <w:rPr>
          <w:rFonts w:hint="eastAsia" w:ascii="楷体_GB2312" w:hAnsi="宋体" w:eastAsia="楷体_GB2312"/>
          <w:b/>
          <w:lang w:val="zh-CN"/>
        </w:rPr>
        <w:t>（三）项目监管情况</w:t>
      </w:r>
      <w:r>
        <w:rPr>
          <w:rFonts w:hint="eastAsia" w:ascii="楷体_GB2312" w:hAnsi="宋体" w:eastAsia="楷体_GB2312"/>
          <w:b/>
          <w:color w:val="000000" w:themeColor="text1"/>
          <w:lang w:val="zh-CN"/>
        </w:rPr>
        <w:t>。</w:t>
      </w:r>
    </w:p>
    <w:p>
      <w:pPr>
        <w:spacing w:line="520" w:lineRule="exact"/>
        <w:ind w:firstLine="640" w:firstLineChars="200"/>
        <w:rPr>
          <w:rFonts w:ascii="仿宋_GB2312" w:hAnsi="仿宋_GB2312" w:cs="仿宋_GB2312"/>
        </w:rPr>
      </w:pPr>
      <w:r>
        <w:rPr>
          <w:rFonts w:hint="eastAsia" w:ascii="仿宋_GB2312" w:hAnsi="仿宋_GB2312" w:cs="仿宋_GB2312"/>
        </w:rPr>
        <w:t>一是制定各项管理制度，落实工作责任分工，统一项目实施行为规范。二是</w:t>
      </w:r>
      <w:r>
        <w:rPr>
          <w:rFonts w:hint="eastAsia" w:ascii="仿宋_GB2312" w:hAnsi="仿宋_GB2312" w:cs="仿宋_GB2312"/>
          <w:lang w:eastAsia="zh-CN"/>
        </w:rPr>
        <w:t>通过</w:t>
      </w:r>
      <w:r>
        <w:rPr>
          <w:rFonts w:hint="eastAsia"/>
        </w:rPr>
        <w:t>“一卡通”确保补贴资金发放到农户手中。</w:t>
      </w:r>
      <w:r>
        <w:rPr>
          <w:rFonts w:hint="eastAsia" w:ascii="仿宋_GB2312" w:hAnsi="仿宋_GB2312" w:cs="仿宋_GB2312"/>
        </w:rPr>
        <w:t>三是加强监督管理，镇（街道）加强补贴农户的资格审查，确保政策宣传落实到位。四是加强信息管理，使用政府网站，</w:t>
      </w:r>
      <w:r>
        <w:rPr>
          <w:rFonts w:hint="eastAsia" w:ascii="仿宋_GB2312" w:hAnsi="仿宋_GB2312" w:cs="仿宋_GB2312"/>
          <w:lang w:eastAsia="zh-CN"/>
        </w:rPr>
        <w:t>村组公示</w:t>
      </w:r>
      <w:r>
        <w:rPr>
          <w:rFonts w:hint="eastAsia" w:ascii="仿宋_GB2312" w:hAnsi="仿宋_GB2312" w:cs="仿宋_GB2312"/>
        </w:rPr>
        <w:t>等方式切实</w:t>
      </w:r>
      <w:r>
        <w:rPr>
          <w:rFonts w:hint="eastAsia" w:ascii="仿宋_GB2312" w:hAnsi="仿宋_GB2312" w:cs="仿宋_GB2312"/>
          <w:lang w:eastAsia="zh-CN"/>
        </w:rPr>
        <w:t>养猪户</w:t>
      </w:r>
      <w:r>
        <w:rPr>
          <w:rFonts w:hint="eastAsia" w:ascii="仿宋_GB2312" w:hAnsi="仿宋_GB2312" w:cs="仿宋_GB2312"/>
        </w:rPr>
        <w:t>补贴的资金公示到位，保证补贴资金公开透明，形成群众监管的长效机制。</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ascii="仿宋_GB2312" w:hAnsi="宋体"/>
          <w:lang w:val="zh-CN"/>
        </w:rPr>
      </w:pPr>
      <w:r>
        <w:rPr>
          <w:rFonts w:hint="eastAsia" w:ascii="Times New Roman" w:hAnsi="Times New Roman" w:cs="Times New Roman"/>
          <w:lang w:val="en-US" w:eastAsia="zh-CN"/>
        </w:rPr>
        <w:t>绵竹市2022年稳固生猪生产奖补资金使用方案</w:t>
      </w:r>
      <w:r>
        <w:rPr>
          <w:rFonts w:hint="eastAsia" w:ascii="Times New Roman" w:hAnsi="Times New Roman" w:cs="Times New Roman"/>
        </w:rPr>
        <w:t>》</w:t>
      </w:r>
      <w:r>
        <w:rPr>
          <w:rFonts w:hint="eastAsia"/>
        </w:rPr>
        <w:t>已经</w:t>
      </w:r>
      <w:r>
        <w:rPr>
          <w:rFonts w:hint="eastAsia"/>
          <w:lang w:eastAsia="zh-CN"/>
        </w:rPr>
        <w:t>由绵竹市人民政府十九届十七次常务会议</w:t>
      </w:r>
      <w:r>
        <w:rPr>
          <w:rFonts w:hint="eastAsia"/>
        </w:rPr>
        <w:t>同意，方案中</w:t>
      </w:r>
      <w:r>
        <w:rPr>
          <w:rFonts w:hint="eastAsia" w:ascii="Times New Roman" w:hAnsi="Times New Roman" w:cs="Times New Roman"/>
          <w:lang w:val="en-US" w:eastAsia="zh-CN"/>
        </w:rPr>
        <w:t>一是对已授牌的2022年“国家级生猪产能调控基地”给予一次性奖补10万元/个，“省级生猪产能调控基地”给予一次性奖补5万元/个。二是根据“智慧动监平台”上养殖场2022年度出票头数情况，对年出栏达500头符合补助条件的生猪规模场按照1万元/个的标准给予一次性补助。三是根据保险公司2022年养殖户投保能繁母猪政策性保险情况，对能繁母猪保费中养殖户自缴部分按照18元/头给予一次性补贴。四是对2022年饲养有能繁母猪的养殖户按照100元/头给予一次性补助</w:t>
      </w:r>
      <w:r>
        <w:rPr>
          <w:rFonts w:hint="eastAsia"/>
        </w:rPr>
        <w:t>。据统计全市</w:t>
      </w:r>
      <w:r>
        <w:rPr>
          <w:rFonts w:hint="eastAsia" w:ascii="Times New Roman" w:hAnsi="Times New Roman" w:cs="Times New Roman"/>
          <w:lang w:val="en-US" w:eastAsia="zh-CN"/>
        </w:rPr>
        <w:t>全市奖补国家级生猪产能调控基地2个，共20万元，奖补省级生猪产能调控基地2个，共10万元，奖补2022年出栏达500头的规模养殖场47个，共47万元，奖补2022年养猪户饲养的能繁母猪11689头，共116.89万元，补贴2022年养殖户投保能繁母猪政策性保险10050头，共18.09万元，以上合计211.98万元</w:t>
      </w:r>
      <w:r>
        <w:rPr>
          <w:rFonts w:hint="eastAsia"/>
        </w:rPr>
        <w:t>。</w:t>
      </w:r>
    </w:p>
    <w:p>
      <w:pPr>
        <w:adjustRightInd w:val="0"/>
        <w:snapToGrid w:val="0"/>
        <w:spacing w:line="580" w:lineRule="exact"/>
        <w:ind w:firstLine="643" w:firstLineChars="200"/>
        <w:rPr>
          <w:rFonts w:ascii="楷体_GB2312" w:hAnsi="宋体" w:eastAsia="楷体_GB2312"/>
          <w:b/>
          <w:lang w:val="zh-CN"/>
        </w:rPr>
      </w:pPr>
      <w:r>
        <w:rPr>
          <w:rFonts w:hint="eastAsia" w:ascii="楷体_GB2312" w:hAnsi="宋体" w:eastAsia="楷体_GB2312"/>
          <w:b/>
          <w:lang w:val="zh-CN"/>
        </w:rPr>
        <w:t>（二）项目效益情况。</w:t>
      </w:r>
    </w:p>
    <w:p>
      <w:pPr>
        <w:spacing w:line="600" w:lineRule="exact"/>
        <w:ind w:firstLine="640" w:firstLineChars="200"/>
      </w:pPr>
      <w:r>
        <w:rPr>
          <w:rFonts w:hint="eastAsia"/>
        </w:rPr>
        <w:t>（</w:t>
      </w:r>
      <w:r>
        <w:t>1</w:t>
      </w:r>
      <w:r>
        <w:rPr>
          <w:rFonts w:hint="eastAsia"/>
        </w:rPr>
        <w:t>）项目实施的社会效益分析。</w:t>
      </w:r>
    </w:p>
    <w:p>
      <w:pPr>
        <w:spacing w:line="600" w:lineRule="exact"/>
        <w:ind w:firstLine="640" w:firstLineChars="200"/>
      </w:pPr>
      <w:r>
        <w:rPr>
          <w:rFonts w:ascii="仿宋_GB2312"/>
        </w:rPr>
        <w:t>202</w:t>
      </w:r>
      <w:r>
        <w:rPr>
          <w:rFonts w:hint="eastAsia" w:ascii="仿宋_GB2312"/>
        </w:rPr>
        <w:t>2年，绵竹市</w:t>
      </w:r>
      <w:r>
        <w:rPr>
          <w:rFonts w:hint="eastAsia" w:ascii="仿宋_GB2312"/>
          <w:lang w:eastAsia="zh-CN"/>
        </w:rPr>
        <w:t>出栏生猪</w:t>
      </w:r>
      <w:r>
        <w:rPr>
          <w:rFonts w:hint="eastAsia" w:ascii="仿宋_GB2312"/>
          <w:lang w:val="en-US" w:eastAsia="zh-CN"/>
        </w:rPr>
        <w:t>44.54万头</w:t>
      </w:r>
      <w:r>
        <w:rPr>
          <w:rFonts w:hint="eastAsia" w:ascii="仿宋_GB2312"/>
        </w:rPr>
        <w:t>，比</w:t>
      </w:r>
      <w:r>
        <w:rPr>
          <w:rFonts w:ascii="仿宋_GB2312"/>
        </w:rPr>
        <w:t>20</w:t>
      </w:r>
      <w:r>
        <w:rPr>
          <w:rFonts w:hint="eastAsia" w:ascii="仿宋_GB2312"/>
        </w:rPr>
        <w:t>21年</w:t>
      </w:r>
      <w:r>
        <w:rPr>
          <w:rFonts w:hint="eastAsia"/>
        </w:rPr>
        <w:t>增加</w:t>
      </w:r>
      <w:r>
        <w:rPr>
          <w:rFonts w:hint="eastAsia"/>
          <w:lang w:val="en-US" w:eastAsia="zh-CN"/>
        </w:rPr>
        <w:t>1.35</w:t>
      </w:r>
      <w:r>
        <w:rPr>
          <w:rFonts w:hint="eastAsia"/>
          <w:lang w:eastAsia="zh-CN"/>
        </w:rPr>
        <w:t>万头</w:t>
      </w:r>
      <w:r>
        <w:rPr>
          <w:rFonts w:hint="eastAsia" w:ascii="仿宋_GB2312"/>
        </w:rPr>
        <w:t>。当年</w:t>
      </w:r>
      <w:r>
        <w:rPr>
          <w:rFonts w:hint="eastAsia" w:ascii="仿宋_GB2312"/>
          <w:lang w:eastAsia="zh-CN"/>
        </w:rPr>
        <w:t>养猪</w:t>
      </w:r>
      <w:r>
        <w:rPr>
          <w:rFonts w:hint="eastAsia" w:ascii="仿宋_GB2312"/>
        </w:rPr>
        <w:t>户现金收入增加</w:t>
      </w:r>
      <w:r>
        <w:rPr>
          <w:rFonts w:hint="eastAsia" w:ascii="仿宋_GB2312"/>
          <w:lang w:val="en-US" w:eastAsia="zh-CN"/>
        </w:rPr>
        <w:t>211.98</w:t>
      </w:r>
      <w:r>
        <w:rPr>
          <w:rFonts w:hint="eastAsia" w:ascii="仿宋_GB2312"/>
        </w:rPr>
        <w:t>万元，为</w:t>
      </w:r>
      <w:r>
        <w:rPr>
          <w:rFonts w:hint="eastAsia" w:ascii="仿宋_GB2312"/>
          <w:lang w:eastAsia="zh-CN"/>
        </w:rPr>
        <w:t>生猪养殖</w:t>
      </w:r>
      <w:r>
        <w:rPr>
          <w:rFonts w:hint="eastAsia" w:ascii="仿宋_GB2312"/>
        </w:rPr>
        <w:t>发展树立信心。</w:t>
      </w:r>
    </w:p>
    <w:p>
      <w:pPr>
        <w:spacing w:line="600" w:lineRule="exact"/>
        <w:ind w:firstLine="640" w:firstLineChars="200"/>
      </w:pPr>
      <w:r>
        <w:rPr>
          <w:rFonts w:hint="eastAsia"/>
        </w:rPr>
        <w:t>（</w:t>
      </w:r>
      <w:r>
        <w:t>2</w:t>
      </w:r>
      <w:r>
        <w:rPr>
          <w:rFonts w:hint="eastAsia"/>
        </w:rPr>
        <w:t>）项目实施的可持续影响分析。</w:t>
      </w:r>
    </w:p>
    <w:p>
      <w:pPr>
        <w:spacing w:line="600" w:lineRule="exact"/>
        <w:ind w:firstLine="640" w:firstLineChars="200"/>
      </w:pPr>
      <w:r>
        <w:rPr>
          <w:rFonts w:hint="eastAsia"/>
        </w:rPr>
        <w:t>一是加强补贴资金的监督和管理。通过开展各镇乡申报初核和市级复核的方式，强化资金监督检查工作，确保补贴资金真正让</w:t>
      </w:r>
      <w:r>
        <w:rPr>
          <w:rFonts w:hint="eastAsia"/>
          <w:lang w:eastAsia="zh-CN"/>
        </w:rPr>
        <w:t>养猪</w:t>
      </w:r>
      <w:r>
        <w:rPr>
          <w:rFonts w:hint="eastAsia"/>
        </w:rPr>
        <w:t>大户受益。二是加强补贴资金的信息管理，由市农业农村局整理归档。通过严格资金使用管理，确保资金使用无重大违规违纪问题。三是通过</w:t>
      </w:r>
      <w:r>
        <w:rPr>
          <w:rFonts w:hint="eastAsia"/>
          <w:lang w:eastAsia="zh-CN"/>
        </w:rPr>
        <w:t>能繁母猪补贴申报</w:t>
      </w:r>
      <w:r>
        <w:rPr>
          <w:rFonts w:hint="eastAsia"/>
        </w:rPr>
        <w:t>让各级了解全市</w:t>
      </w:r>
      <w:r>
        <w:rPr>
          <w:rFonts w:hint="eastAsia"/>
          <w:lang w:eastAsia="zh-CN"/>
        </w:rPr>
        <w:t>生猪生产</w:t>
      </w:r>
      <w:r>
        <w:rPr>
          <w:rFonts w:hint="eastAsia"/>
        </w:rPr>
        <w:t>的基本信息，为全市</w:t>
      </w:r>
      <w:r>
        <w:rPr>
          <w:rFonts w:hint="eastAsia"/>
          <w:lang w:eastAsia="zh-CN"/>
        </w:rPr>
        <w:t>生猪</w:t>
      </w:r>
      <w:r>
        <w:rPr>
          <w:rFonts w:hint="eastAsia"/>
        </w:rPr>
        <w:t>生产提供情报支撑。四是增加资金量，提高</w:t>
      </w:r>
      <w:r>
        <w:rPr>
          <w:rFonts w:hint="eastAsia"/>
          <w:lang w:eastAsia="zh-CN"/>
        </w:rPr>
        <w:t>养猪</w:t>
      </w:r>
      <w:r>
        <w:rPr>
          <w:rFonts w:hint="eastAsia"/>
        </w:rPr>
        <w:t>积极性。</w:t>
      </w:r>
    </w:p>
    <w:p>
      <w:pPr>
        <w:spacing w:line="600" w:lineRule="exact"/>
        <w:ind w:firstLine="640" w:firstLineChars="200"/>
      </w:pPr>
      <w:r>
        <w:t>3</w:t>
      </w:r>
      <w:r>
        <w:rPr>
          <w:rFonts w:hint="eastAsia"/>
        </w:rPr>
        <w:t>．满意度指标完成情况分析。</w:t>
      </w:r>
    </w:p>
    <w:p>
      <w:pPr>
        <w:spacing w:line="600" w:lineRule="exact"/>
        <w:ind w:firstLine="640" w:firstLineChars="200"/>
      </w:pPr>
      <w:r>
        <w:rPr>
          <w:rFonts w:hint="eastAsia"/>
        </w:rPr>
        <w:t>通过</w:t>
      </w:r>
      <w:r>
        <w:rPr>
          <w:rFonts w:hint="eastAsia"/>
          <w:lang w:eastAsia="zh-CN"/>
        </w:rPr>
        <w:t>养猪</w:t>
      </w:r>
      <w:r>
        <w:rPr>
          <w:rFonts w:hint="eastAsia"/>
        </w:rPr>
        <w:t>大户补贴工作，引导绵竹市</w:t>
      </w:r>
      <w:r>
        <w:rPr>
          <w:rFonts w:hint="eastAsia"/>
          <w:lang w:eastAsia="zh-CN"/>
        </w:rPr>
        <w:t>生猪生产</w:t>
      </w:r>
      <w:r>
        <w:rPr>
          <w:rFonts w:hint="eastAsia"/>
        </w:rPr>
        <w:t>经营水平稳步提高，实现</w:t>
      </w:r>
      <w:r>
        <w:rPr>
          <w:rFonts w:hint="eastAsia"/>
          <w:lang w:eastAsia="zh-CN"/>
        </w:rPr>
        <w:t>养猪</w:t>
      </w:r>
      <w:r>
        <w:rPr>
          <w:rFonts w:hint="eastAsia"/>
        </w:rPr>
        <w:t>大户现金收入，带动农民增收、农业增效，确</w:t>
      </w:r>
      <w:r>
        <w:rPr>
          <w:rFonts w:hint="eastAsia" w:ascii="仿宋_GB2312"/>
        </w:rPr>
        <w:t>保农民满意度达</w:t>
      </w:r>
      <w:r>
        <w:rPr>
          <w:rFonts w:ascii="仿宋_GB2312"/>
        </w:rPr>
        <w:t>9</w:t>
      </w:r>
      <w:r>
        <w:rPr>
          <w:rFonts w:hint="eastAsia" w:ascii="仿宋_GB2312"/>
          <w:lang w:val="en-US" w:eastAsia="zh-CN"/>
        </w:rPr>
        <w:t>5</w:t>
      </w:r>
      <w:r>
        <w:rPr>
          <w:rFonts w:ascii="仿宋_GB2312"/>
        </w:rPr>
        <w:t>%</w:t>
      </w:r>
      <w:r>
        <w:rPr>
          <w:rFonts w:hint="eastAsia" w:ascii="仿宋_GB2312"/>
        </w:rPr>
        <w:t>以上。</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widowControl/>
        <w:spacing w:line="520" w:lineRule="exact"/>
        <w:ind w:firstLine="640" w:firstLineChars="200"/>
        <w:rPr>
          <w:rFonts w:ascii="仿宋_GB2312" w:hAnsi="仿宋_GB2312" w:cs="仿宋_GB2312"/>
        </w:rPr>
      </w:pPr>
      <w:r>
        <w:rPr>
          <w:rFonts w:hint="eastAsia" w:ascii="仿宋" w:hAnsi="仿宋" w:eastAsia="仿宋" w:cs="仿宋"/>
          <w:kern w:val="0"/>
          <w:lang w:val="zh-CN"/>
        </w:rPr>
        <w:t>本项目支出绩效自评</w:t>
      </w:r>
      <w:r>
        <w:rPr>
          <w:rFonts w:hint="eastAsia" w:ascii="仿宋" w:hAnsi="仿宋" w:eastAsia="仿宋" w:cs="仿宋"/>
          <w:kern w:val="0"/>
        </w:rPr>
        <w:t>98分。</w:t>
      </w:r>
      <w:r>
        <w:rPr>
          <w:rFonts w:hint="eastAsia" w:ascii="仿宋_GB2312" w:hAnsi="仿宋_GB2312" w:cs="仿宋_GB2312"/>
        </w:rPr>
        <w:t>通过实施2022</w:t>
      </w:r>
      <w:r>
        <w:rPr>
          <w:rFonts w:hint="eastAsia" w:ascii="仿宋_GB2312" w:hAnsi="仿宋_GB2312" w:cs="仿宋_GB2312"/>
          <w:lang w:eastAsia="zh-CN"/>
        </w:rPr>
        <w:t>养猪</w:t>
      </w:r>
      <w:r>
        <w:rPr>
          <w:rFonts w:hint="eastAsia" w:ascii="仿宋_GB2312" w:hAnsi="仿宋_GB2312" w:cs="仿宋_GB2312"/>
        </w:rPr>
        <w:t>户补贴项目，</w:t>
      </w:r>
      <w:r>
        <w:rPr>
          <w:rFonts w:hint="eastAsia"/>
        </w:rPr>
        <w:t>引导绵竹市适度规模经营水平稳步提高，实现</w:t>
      </w:r>
      <w:r>
        <w:rPr>
          <w:rFonts w:hint="eastAsia"/>
          <w:lang w:eastAsia="zh-CN"/>
        </w:rPr>
        <w:t>养猪</w:t>
      </w:r>
      <w:r>
        <w:rPr>
          <w:rFonts w:hint="eastAsia"/>
        </w:rPr>
        <w:t>户现金收入，带动农民增收、农业增效</w:t>
      </w:r>
      <w:r>
        <w:rPr>
          <w:rFonts w:hint="eastAsia" w:ascii="仿宋_GB2312" w:hAnsi="仿宋_GB2312" w:cs="仿宋_GB2312"/>
        </w:rPr>
        <w:t>使补贴对象的满意程度大于9</w:t>
      </w:r>
      <w:r>
        <w:rPr>
          <w:rFonts w:hint="eastAsia" w:ascii="仿宋_GB2312" w:hAnsi="仿宋_GB2312" w:cs="仿宋_GB2312"/>
          <w:lang w:val="en-US" w:eastAsia="zh-CN"/>
        </w:rPr>
        <w:t>5</w:t>
      </w:r>
      <w:r>
        <w:rPr>
          <w:rFonts w:hint="eastAsia" w:ascii="仿宋_GB2312" w:hAnsi="仿宋_GB2312" w:cs="仿宋_GB2312"/>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spacing w:line="600" w:lineRule="exact"/>
        <w:ind w:firstLine="640" w:firstLineChars="200"/>
      </w:pPr>
      <w:r>
        <w:rPr>
          <w:rFonts w:hint="eastAsia"/>
          <w:lang w:val="en-US" w:eastAsia="zh-CN"/>
        </w:rPr>
        <w:t>1</w:t>
      </w:r>
      <w:r>
        <w:rPr>
          <w:rFonts w:hint="eastAsia"/>
        </w:rPr>
        <w:t>、镇村组工作人员积极性不高</w:t>
      </w:r>
    </w:p>
    <w:p>
      <w:pPr>
        <w:spacing w:line="600" w:lineRule="exact"/>
        <w:ind w:firstLine="640" w:firstLineChars="200"/>
        <w:rPr>
          <w:rFonts w:hint="eastAsia"/>
        </w:rPr>
      </w:pPr>
      <w:r>
        <w:rPr>
          <w:rFonts w:hint="eastAsia"/>
        </w:rPr>
        <w:t>由于该项工作强度大，涉及农户多，需要村组人员下乡走访，但此项工作没有工作经费，村组工作人员核查积极性不高，导致核查第一关力度不够，为申报者多报、谎报、瞒报提供了可乘之机。</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spacing w:line="600" w:lineRule="exact"/>
        <w:ind w:firstLine="640" w:firstLineChars="200"/>
        <w:rPr>
          <w:rFonts w:hint="eastAsia" w:eastAsia="仿宋_GB2312"/>
          <w:lang w:val="en-US" w:eastAsia="zh-CN"/>
        </w:rPr>
      </w:pPr>
      <w:r>
        <w:rPr>
          <w:rFonts w:hint="eastAsia"/>
          <w:lang w:val="en-US" w:eastAsia="zh-CN"/>
        </w:rPr>
        <w:t>无</w:t>
      </w:r>
      <w:bookmarkStart w:id="0" w:name="_GoBack"/>
      <w:bookmarkEnd w:id="0"/>
    </w:p>
    <w:p>
      <w:pPr>
        <w:adjustRightInd w:val="0"/>
        <w:snapToGrid w:val="0"/>
        <w:spacing w:line="580" w:lineRule="exact"/>
        <w:ind w:firstLine="720"/>
      </w:pPr>
    </w:p>
    <w:p>
      <w:pPr>
        <w:adjustRightInd w:val="0"/>
        <w:snapToGrid w:val="0"/>
        <w:spacing w:line="580" w:lineRule="exact"/>
      </w:pPr>
    </w:p>
    <w:p>
      <w:pPr>
        <w:adjustRightInd w:val="0"/>
        <w:snapToGrid w:val="0"/>
        <w:spacing w:line="580" w:lineRule="exact"/>
        <w:ind w:firstLine="720"/>
        <w:rPr>
          <w:rFonts w:ascii="楷体_GB2312" w:hAnsi="宋体" w:eastAsia="楷体_GB2312"/>
          <w:lang w:val="zh-CN"/>
        </w:rPr>
      </w:pPr>
    </w:p>
    <w:p>
      <w:pPr>
        <w:adjustRightInd w:val="0"/>
        <w:snapToGrid w:val="0"/>
        <w:spacing w:line="580" w:lineRule="exact"/>
        <w:ind w:firstLine="5280" w:firstLineChars="1650"/>
        <w:rPr>
          <w:rFonts w:ascii="仿宋_GB2312" w:hAnsi="宋体"/>
          <w:lang w:val="zh-CN"/>
        </w:rPr>
      </w:pPr>
      <w:r>
        <w:rPr>
          <w:rFonts w:ascii="仿宋_GB2312" w:hAnsi="宋体"/>
          <w:lang w:val="zh-CN"/>
        </w:rPr>
        <w:t>202</w:t>
      </w:r>
      <w:r>
        <w:rPr>
          <w:rFonts w:hint="eastAsia" w:ascii="仿宋_GB2312" w:hAnsi="宋体"/>
          <w:lang w:val="zh-CN"/>
        </w:rPr>
        <w:t>3年5月25日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CF84A6-FD4D-4938-8127-698064086D4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76C30F3-74C9-4201-9560-2D1ADA93691E}"/>
  </w:font>
  <w:font w:name="仿宋_GB2312">
    <w:altName w:val="仿宋"/>
    <w:panose1 w:val="02010609030101010101"/>
    <w:charset w:val="86"/>
    <w:family w:val="modern"/>
    <w:pitch w:val="default"/>
    <w:sig w:usb0="00000000" w:usb1="00000000" w:usb2="00000000" w:usb3="00000000" w:csb0="00040000" w:csb1="00000000"/>
    <w:embedRegular r:id="rId3" w:fontKey="{E0B4DADD-23FB-429E-B79C-D7BC342A39B5}"/>
  </w:font>
  <w:font w:name="??">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4" w:fontKey="{C256CCE4-8787-49CE-AE29-BCF9243FF9BD}"/>
  </w:font>
  <w:font w:name="楷体_GB2312">
    <w:altName w:val="楷体"/>
    <w:panose1 w:val="00000000000000000000"/>
    <w:charset w:val="86"/>
    <w:family w:val="modern"/>
    <w:pitch w:val="default"/>
    <w:sig w:usb0="00000000" w:usb1="00000000" w:usb2="00000010" w:usb3="00000000" w:csb0="00040000" w:csb1="00000000"/>
    <w:embedRegular r:id="rId5" w:fontKey="{32AAD04D-F35C-438A-9335-900548760CA5}"/>
  </w:font>
  <w:font w:name="仿宋">
    <w:panose1 w:val="02010609060101010101"/>
    <w:charset w:val="86"/>
    <w:family w:val="modern"/>
    <w:pitch w:val="default"/>
    <w:sig w:usb0="800002BF" w:usb1="38CF7CFA" w:usb2="00000016" w:usb3="00000000" w:csb0="00040001" w:csb1="00000000"/>
    <w:embedRegular r:id="rId6" w:fontKey="{E93FF608-677B-4049-927B-901A6D8BFD2E}"/>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029CF"/>
    <w:rsid w:val="000262B4"/>
    <w:rsid w:val="00031D0F"/>
    <w:rsid w:val="00041AA3"/>
    <w:rsid w:val="00047FF7"/>
    <w:rsid w:val="00061B75"/>
    <w:rsid w:val="00063908"/>
    <w:rsid w:val="000660A6"/>
    <w:rsid w:val="00072438"/>
    <w:rsid w:val="00092954"/>
    <w:rsid w:val="000B1CEB"/>
    <w:rsid w:val="000B5533"/>
    <w:rsid w:val="000D31EE"/>
    <w:rsid w:val="000E7606"/>
    <w:rsid w:val="000F569F"/>
    <w:rsid w:val="0011620E"/>
    <w:rsid w:val="00125DAF"/>
    <w:rsid w:val="0015157C"/>
    <w:rsid w:val="00173039"/>
    <w:rsid w:val="00174201"/>
    <w:rsid w:val="001D6D8D"/>
    <w:rsid w:val="001E34BB"/>
    <w:rsid w:val="001E401E"/>
    <w:rsid w:val="001E6113"/>
    <w:rsid w:val="001F47CE"/>
    <w:rsid w:val="00220900"/>
    <w:rsid w:val="00225BC1"/>
    <w:rsid w:val="002413AD"/>
    <w:rsid w:val="00245907"/>
    <w:rsid w:val="002600D7"/>
    <w:rsid w:val="00291918"/>
    <w:rsid w:val="002B5B34"/>
    <w:rsid w:val="002C62D2"/>
    <w:rsid w:val="002E7D7A"/>
    <w:rsid w:val="00317E03"/>
    <w:rsid w:val="00327E97"/>
    <w:rsid w:val="00367245"/>
    <w:rsid w:val="00374466"/>
    <w:rsid w:val="00376F5B"/>
    <w:rsid w:val="00382E88"/>
    <w:rsid w:val="003B4463"/>
    <w:rsid w:val="003B4AEC"/>
    <w:rsid w:val="003E5E79"/>
    <w:rsid w:val="003E786F"/>
    <w:rsid w:val="003F3D2B"/>
    <w:rsid w:val="003F771B"/>
    <w:rsid w:val="004113C0"/>
    <w:rsid w:val="00412A04"/>
    <w:rsid w:val="00413DC5"/>
    <w:rsid w:val="00425ED1"/>
    <w:rsid w:val="00437A5D"/>
    <w:rsid w:val="00447155"/>
    <w:rsid w:val="004B3B04"/>
    <w:rsid w:val="004E2171"/>
    <w:rsid w:val="004E6143"/>
    <w:rsid w:val="004F7284"/>
    <w:rsid w:val="00500571"/>
    <w:rsid w:val="0052755E"/>
    <w:rsid w:val="00540A52"/>
    <w:rsid w:val="00542303"/>
    <w:rsid w:val="00543D64"/>
    <w:rsid w:val="00572F4E"/>
    <w:rsid w:val="005A32E9"/>
    <w:rsid w:val="005C2063"/>
    <w:rsid w:val="005C5C28"/>
    <w:rsid w:val="005D4AF4"/>
    <w:rsid w:val="00610011"/>
    <w:rsid w:val="006108BC"/>
    <w:rsid w:val="00640DAC"/>
    <w:rsid w:val="00645B2A"/>
    <w:rsid w:val="00645C38"/>
    <w:rsid w:val="006B25C2"/>
    <w:rsid w:val="006B75BA"/>
    <w:rsid w:val="006E1BC5"/>
    <w:rsid w:val="006E3397"/>
    <w:rsid w:val="006E3A8B"/>
    <w:rsid w:val="006F6F46"/>
    <w:rsid w:val="00704D2F"/>
    <w:rsid w:val="00725818"/>
    <w:rsid w:val="00731156"/>
    <w:rsid w:val="007359BF"/>
    <w:rsid w:val="007533F5"/>
    <w:rsid w:val="00756EA2"/>
    <w:rsid w:val="00782BB3"/>
    <w:rsid w:val="007972FE"/>
    <w:rsid w:val="007A2D9C"/>
    <w:rsid w:val="007B2095"/>
    <w:rsid w:val="007C43B5"/>
    <w:rsid w:val="007D0D03"/>
    <w:rsid w:val="007E2A26"/>
    <w:rsid w:val="008202D5"/>
    <w:rsid w:val="00832280"/>
    <w:rsid w:val="00851C30"/>
    <w:rsid w:val="008522B7"/>
    <w:rsid w:val="00854163"/>
    <w:rsid w:val="008579F7"/>
    <w:rsid w:val="008854A0"/>
    <w:rsid w:val="00893DEA"/>
    <w:rsid w:val="008A0CFC"/>
    <w:rsid w:val="008A77D6"/>
    <w:rsid w:val="008D7836"/>
    <w:rsid w:val="008F5EE0"/>
    <w:rsid w:val="008F6FBC"/>
    <w:rsid w:val="008F788A"/>
    <w:rsid w:val="009036C0"/>
    <w:rsid w:val="0092670A"/>
    <w:rsid w:val="00942D9C"/>
    <w:rsid w:val="009663C1"/>
    <w:rsid w:val="0096654A"/>
    <w:rsid w:val="00975380"/>
    <w:rsid w:val="00991186"/>
    <w:rsid w:val="009952BA"/>
    <w:rsid w:val="009E1712"/>
    <w:rsid w:val="009F0029"/>
    <w:rsid w:val="00A102D1"/>
    <w:rsid w:val="00A13DF8"/>
    <w:rsid w:val="00A170EC"/>
    <w:rsid w:val="00A171F5"/>
    <w:rsid w:val="00A2504A"/>
    <w:rsid w:val="00A302F5"/>
    <w:rsid w:val="00A31CF1"/>
    <w:rsid w:val="00A411A9"/>
    <w:rsid w:val="00A413A6"/>
    <w:rsid w:val="00A61DA7"/>
    <w:rsid w:val="00A7284A"/>
    <w:rsid w:val="00A86881"/>
    <w:rsid w:val="00A86C0C"/>
    <w:rsid w:val="00A94C39"/>
    <w:rsid w:val="00AA1423"/>
    <w:rsid w:val="00AA5296"/>
    <w:rsid w:val="00AB0B28"/>
    <w:rsid w:val="00AF791D"/>
    <w:rsid w:val="00B10D87"/>
    <w:rsid w:val="00B124A7"/>
    <w:rsid w:val="00B14AA7"/>
    <w:rsid w:val="00B32804"/>
    <w:rsid w:val="00B54E96"/>
    <w:rsid w:val="00BB78EE"/>
    <w:rsid w:val="00C22C60"/>
    <w:rsid w:val="00C30B2E"/>
    <w:rsid w:val="00C646A3"/>
    <w:rsid w:val="00C72689"/>
    <w:rsid w:val="00C871E2"/>
    <w:rsid w:val="00CC2055"/>
    <w:rsid w:val="00CC3075"/>
    <w:rsid w:val="00CD7A50"/>
    <w:rsid w:val="00CE6B0C"/>
    <w:rsid w:val="00D36F3A"/>
    <w:rsid w:val="00D80323"/>
    <w:rsid w:val="00D96492"/>
    <w:rsid w:val="00DA4995"/>
    <w:rsid w:val="00DB4C32"/>
    <w:rsid w:val="00E10A5A"/>
    <w:rsid w:val="00E10DC1"/>
    <w:rsid w:val="00E4357F"/>
    <w:rsid w:val="00E675BF"/>
    <w:rsid w:val="00E77998"/>
    <w:rsid w:val="00E96F60"/>
    <w:rsid w:val="00EB3B8A"/>
    <w:rsid w:val="00EB7047"/>
    <w:rsid w:val="00EC60AA"/>
    <w:rsid w:val="00ED3D8E"/>
    <w:rsid w:val="00ED7DCD"/>
    <w:rsid w:val="00EE3D64"/>
    <w:rsid w:val="00EF3BD2"/>
    <w:rsid w:val="00F251E9"/>
    <w:rsid w:val="00F27183"/>
    <w:rsid w:val="00F46A1C"/>
    <w:rsid w:val="00F8620E"/>
    <w:rsid w:val="00FC2A81"/>
    <w:rsid w:val="00FD3EFA"/>
    <w:rsid w:val="00FD62E7"/>
    <w:rsid w:val="00FE1324"/>
    <w:rsid w:val="00FE76A4"/>
    <w:rsid w:val="00FE7B9A"/>
    <w:rsid w:val="02F51501"/>
    <w:rsid w:val="0A9C1711"/>
    <w:rsid w:val="0BB23563"/>
    <w:rsid w:val="0F4B1644"/>
    <w:rsid w:val="1A3908A8"/>
    <w:rsid w:val="1A490BFA"/>
    <w:rsid w:val="23046E34"/>
    <w:rsid w:val="261D36AF"/>
    <w:rsid w:val="28BA1D43"/>
    <w:rsid w:val="28CF57EE"/>
    <w:rsid w:val="2B031BEC"/>
    <w:rsid w:val="2C8977DB"/>
    <w:rsid w:val="2CC35400"/>
    <w:rsid w:val="2D007C0E"/>
    <w:rsid w:val="2F5E78CC"/>
    <w:rsid w:val="342E3701"/>
    <w:rsid w:val="370724FE"/>
    <w:rsid w:val="3A03182B"/>
    <w:rsid w:val="3BB82712"/>
    <w:rsid w:val="3F012A96"/>
    <w:rsid w:val="3F955013"/>
    <w:rsid w:val="48482A6F"/>
    <w:rsid w:val="4CE20065"/>
    <w:rsid w:val="4DE16C38"/>
    <w:rsid w:val="5344250C"/>
    <w:rsid w:val="55F67FAE"/>
    <w:rsid w:val="56975989"/>
    <w:rsid w:val="58F016DE"/>
    <w:rsid w:val="5954396A"/>
    <w:rsid w:val="5BB07212"/>
    <w:rsid w:val="5D46181B"/>
    <w:rsid w:val="5DF056F8"/>
    <w:rsid w:val="603D6C5D"/>
    <w:rsid w:val="60CD7F37"/>
    <w:rsid w:val="62E71DC0"/>
    <w:rsid w:val="644B732E"/>
    <w:rsid w:val="68E43F44"/>
    <w:rsid w:val="6AC7584C"/>
    <w:rsid w:val="6B4E646B"/>
    <w:rsid w:val="75B23F7E"/>
    <w:rsid w:val="7C482A62"/>
    <w:rsid w:val="7F1748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99"/>
    <w:pPr>
      <w:tabs>
        <w:tab w:val="center" w:pos="4153"/>
        <w:tab w:val="right" w:pos="8306"/>
      </w:tabs>
      <w:snapToGrid w:val="0"/>
      <w:jc w:val="left"/>
    </w:pPr>
    <w:rPr>
      <w:rFonts w:ascii="Calibri" w:hAnsi="Calibri" w:eastAsia="宋体"/>
      <w:sz w:val="18"/>
      <w:szCs w:val="18"/>
    </w:rPr>
  </w:style>
  <w:style w:type="paragraph" w:styleId="3">
    <w:name w:val="header"/>
    <w:basedOn w:val="1"/>
    <w:link w:val="7"/>
    <w:autoRedefine/>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styleId="6">
    <w:name w:val="Strong"/>
    <w:basedOn w:val="5"/>
    <w:autoRedefine/>
    <w:qFormat/>
    <w:locked/>
    <w:uiPriority w:val="0"/>
    <w:rPr>
      <w:b/>
      <w:bCs/>
    </w:rPr>
  </w:style>
  <w:style w:type="character" w:customStyle="1" w:styleId="7">
    <w:name w:val="页眉 Char"/>
    <w:basedOn w:val="5"/>
    <w:link w:val="3"/>
    <w:autoRedefine/>
    <w:qFormat/>
    <w:locked/>
    <w:uiPriority w:val="99"/>
    <w:rPr>
      <w:rFonts w:cs="Times New Roman"/>
      <w:sz w:val="18"/>
      <w:szCs w:val="18"/>
    </w:rPr>
  </w:style>
  <w:style w:type="character" w:customStyle="1" w:styleId="8">
    <w:name w:val="页脚 Char"/>
    <w:basedOn w:val="5"/>
    <w:link w:val="2"/>
    <w:autoRedefine/>
    <w:qFormat/>
    <w:locked/>
    <w:uiPriority w:val="99"/>
    <w:rPr>
      <w:rFonts w:cs="Times New Roman"/>
      <w:sz w:val="18"/>
      <w:szCs w:val="18"/>
    </w:rPr>
  </w:style>
  <w:style w:type="paragraph" w:customStyle="1" w:styleId="9">
    <w:name w:val="四号正文"/>
    <w:basedOn w:val="1"/>
    <w:link w:val="10"/>
    <w:autoRedefine/>
    <w:qFormat/>
    <w:uiPriority w:val="99"/>
    <w:pPr>
      <w:spacing w:line="360" w:lineRule="auto"/>
    </w:pPr>
    <w:rPr>
      <w:rFonts w:ascii="??" w:hAnsi="??" w:eastAsia="宋体"/>
      <w:color w:val="000000"/>
      <w:kern w:val="0"/>
      <w:sz w:val="21"/>
      <w:szCs w:val="20"/>
    </w:rPr>
  </w:style>
  <w:style w:type="character" w:customStyle="1" w:styleId="10">
    <w:name w:val="四号正文 Char"/>
    <w:link w:val="9"/>
    <w:autoRedefine/>
    <w:qFormat/>
    <w:locked/>
    <w:uiPriority w:val="99"/>
    <w:rPr>
      <w:rFonts w:ascii="??" w:hAnsi="??" w:eastAsia="宋体"/>
      <w:color w:val="000000"/>
      <w:kern w:val="0"/>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2701</Words>
  <Characters>2892</Characters>
  <Lines>41</Lines>
  <Paragraphs>11</Paragraphs>
  <TotalTime>0</TotalTime>
  <ScaleCrop>false</ScaleCrop>
  <LinksUpToDate>false</LinksUpToDate>
  <CharactersWithSpaces>2899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2023-05-25T03:17:00Z</dcterms:created>
  <dc:creator>opi</dc:creator>
  <cp:lastModifiedBy>幻</cp:lastModifiedBy>
  <dcterms:modified xsi:type="dcterms:W3CDTF">2024-01-09T07:46:36Z</dcterms:modified>
  <dc:title>附件6</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F94B334FAA0C4EEC82511FE7A2B0BB4F_12</vt:lpwstr>
  </property>
</Properties>
</file>