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2022年省级财政乡村振兴共同财政事权转移支付资金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（示范村）项目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center"/>
        <w:textAlignment w:val="auto"/>
        <w:rPr>
          <w:rFonts w:hint="eastAsia" w:ascii="宋体"/>
          <w:color w:val="auto"/>
          <w:kern w:val="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项目概况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（一）项目基本情况：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麓棠镇玫瑰新村和清平镇棋盘村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成功创建四川省实施乡村振兴战略示范村，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奖补资金60万元/村。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2022年，</w:t>
      </w:r>
      <w:r>
        <w:rPr>
          <w:rFonts w:hint="eastAsia" w:cs="Times New Roman"/>
          <w:sz w:val="32"/>
          <w:szCs w:val="32"/>
          <w:lang w:val="en-US" w:eastAsia="zh-CN"/>
        </w:rPr>
        <w:t>省级财政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下达资金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120万元</w:t>
      </w:r>
      <w:r>
        <w:rPr>
          <w:rFonts w:hint="eastAsia" w:cs="Times New Roman"/>
          <w:sz w:val="32"/>
          <w:szCs w:val="32"/>
          <w:lang w:val="en-US" w:eastAsia="zh-CN"/>
        </w:rPr>
        <w:t>用于实施2个示范村奖补资金项目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cs="Times New Roman"/>
          <w:sz w:val="32"/>
          <w:szCs w:val="32"/>
          <w:lang w:val="en-US" w:eastAsia="zh-CN"/>
        </w:rPr>
        <w:t>2022年底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执行资金84万元，结转资金36万元</w:t>
      </w:r>
      <w:r>
        <w:rPr>
          <w:rFonts w:hint="eastAsia" w:cs="Times New Roman"/>
          <w:sz w:val="32"/>
          <w:szCs w:val="32"/>
          <w:lang w:val="en-US" w:eastAsia="zh-CN"/>
        </w:rPr>
        <w:t>；2023年2个项目共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执行</w:t>
      </w:r>
      <w:r>
        <w:rPr>
          <w:rFonts w:hint="eastAsia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348666.66元，剩余</w:t>
      </w:r>
      <w:r>
        <w:rPr>
          <w:rFonts w:hint="eastAsia" w:cs="Times New Roman"/>
          <w:sz w:val="32"/>
          <w:szCs w:val="32"/>
          <w:lang w:val="en-US" w:eastAsia="zh-CN"/>
        </w:rPr>
        <w:t>11333.34元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平预算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绵竹市农业农村局作为项目的主管部门，负责项目的监督、指导、统筹协调。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（二）项目绩效目标。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玫瑰新村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主要用于农村基础设施建设，包括玫瑰新村4组集中点烂泥沟一侧安全护栏（波形护栏）400米；玫瑰新村2组刘光中门前清滩河新建拱桥一座；玫瑰新村10组、15组红岩渠桥两侧护栏（不锈钢护栏）100米；玫瑰新村12组、14组廖家沟增设波形护栏40米；玫瑰新村216省道旁排洪沟砌筑720米；玫瑰新村5组射水河桥头交通广角镜一面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cs="Times New Roman"/>
          <w:sz w:val="32"/>
          <w:szCs w:val="32"/>
          <w:lang w:val="zh-CN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棋盘村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主要用于农村基础设施建设、宜居乡村建设和深化农业农村改革，包括新建彩色道路115米，水沟100米，硬化入户道路300米，农村人居环境整治，小品小景打造和购置游乐设施等。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（三）项目自评步骤及方法</w:t>
      </w:r>
      <w:r>
        <w:rPr>
          <w:rFonts w:hint="eastAsia" w:eastAsia="楷体_GB2312" w:cs="Times New Roman"/>
          <w:b/>
          <w:sz w:val="32"/>
          <w:szCs w:val="32"/>
          <w:lang w:val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对项目资金使用情况、项目管理情况、项目实施情况及项目绩效等方面进行自查和评价。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二、项目资金申报及使用情况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月，项目村编制资金使用方案，由绵竹市农业农村局对资金使用方案进行审查、汇总后，经绵竹市人民政府同意，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2022年7月5日，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以正式文件将项目村资金使用方案上报德阳市财政局、德阳市农业农村局审批。202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下达资金使用方案的批复。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（二）资金计划、到位及使用情况（可用表格形式反映）。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zh-CN"/>
        </w:rPr>
        <w:t>1．资金计划。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2个项目村项目总投资120.58万元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，其中：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省级财政资金120万元，自筹资金0.58万元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zh-CN"/>
        </w:rPr>
        <w:t>2．资金到位。</w:t>
      </w:r>
      <w:r>
        <w:rPr>
          <w:rFonts w:hint="eastAsia" w:cs="Times New Roman"/>
          <w:sz w:val="32"/>
          <w:szCs w:val="32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省级和自筹资金均已到位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zh-CN"/>
        </w:rPr>
        <w:t>3．资金使用。</w:t>
      </w:r>
      <w:r>
        <w:rPr>
          <w:rFonts w:hint="eastAsia" w:cs="Times New Roman"/>
          <w:sz w:val="32"/>
          <w:szCs w:val="32"/>
          <w:lang w:val="en-US" w:eastAsia="zh-CN"/>
        </w:rPr>
        <w:t>截至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2023年12月31日，2个示范村项目均已实施完毕并审计完成。120万元省级奖补资金已拨付1188666.66万元，剩余资金平预算。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（三）项目财务管理情况。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绵竹市财政局对项目资金进行监管。项目镇村负责项目资金管理。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三、项目实施及管理情况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（一）项目组织架构及实施流程。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玫瑰新村和棋盘村负责项目实施，麓棠镇和清平镇负责项目监管。项目镇村负责项目验收。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（二）项目管理情况。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示范村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项目村均采取村民自建的方式实施建设，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项目村依据资金使用方案批复编制项目实施方案。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（三）项目监管情况。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项目在收到项目批复后开工实施。建设项目严格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按照项目建设与资金管理的办法和规定进行管理。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四、项目绩效情况</w:t>
      </w:r>
      <w:r>
        <w:rPr>
          <w:rFonts w:hint="default" w:ascii="Times New Roman" w:hAnsi="Times New Roman" w:cs="Times New Roman"/>
          <w:sz w:val="32"/>
          <w:szCs w:val="32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玫瑰新村、棋盘村项目均已实施完毕并通过验收审计。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项目实施内容涉及道路硬化、沟渠整治、村容村貌提升等方面，产业基础设施建设等，项目建成后将改善村容村貌，提升群众幸福感、满意度，让群众出行更加便利，村居环境更加舒适，产业基础更加扎实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五、评价结论及建议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（一）评价结论。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建设项目严格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按照项目建设与资金管理的办法和规定进行管理。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项目实施单位财务管理制度健全，严格执行财务管理制度，账务处理及时，会计核算规范。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项目实施过程中项目资料收集有待加强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。</w:t>
      </w:r>
      <w:r>
        <w:rPr>
          <w:rFonts w:hint="default" w:ascii="Times New Roman" w:hAnsi="Times New Roman" w:cs="Times New Roman"/>
          <w:sz w:val="32"/>
          <w:szCs w:val="32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（三）相关建议。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建议项目实施监管负责人加强对项目实施资料的收集、整理、汇总。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A56A2C3-1E7F-4A5F-BABB-D585B38FEFF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8C8C7C1F-DE3C-4520-8BE7-2D69D7006DC6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5638EBE9-AA5C-435A-A4A8-93CDAC9F37A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B65DB4CF-E20C-4571-8863-C515302F3E27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CF6F2AB8-8852-47D2-963A-E2F4C8EB688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1C6BC6"/>
    <w:rsid w:val="00291918"/>
    <w:rsid w:val="002E7D7A"/>
    <w:rsid w:val="00427240"/>
    <w:rsid w:val="00516306"/>
    <w:rsid w:val="00543D64"/>
    <w:rsid w:val="00572F4E"/>
    <w:rsid w:val="005842A2"/>
    <w:rsid w:val="008F6FBC"/>
    <w:rsid w:val="008F788A"/>
    <w:rsid w:val="00A25407"/>
    <w:rsid w:val="00A36A47"/>
    <w:rsid w:val="00AB1E4A"/>
    <w:rsid w:val="00AC3975"/>
    <w:rsid w:val="00E10AB9"/>
    <w:rsid w:val="00E4357F"/>
    <w:rsid w:val="00E90284"/>
    <w:rsid w:val="00F251E9"/>
    <w:rsid w:val="00F67C8D"/>
    <w:rsid w:val="00F951B3"/>
    <w:rsid w:val="00FD3EFA"/>
    <w:rsid w:val="00FD62E7"/>
    <w:rsid w:val="55C8584E"/>
    <w:rsid w:val="6E6F1D25"/>
    <w:rsid w:val="71EC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autoRedefine/>
    <w:qFormat/>
    <w:uiPriority w:val="0"/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四号正文"/>
    <w:basedOn w:val="1"/>
    <w:link w:val="10"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10">
    <w:name w:val="四号正文 Char"/>
    <w:link w:val="9"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195</Words>
  <Characters>1117</Characters>
  <Lines>9</Lines>
  <Paragraphs>2</Paragraphs>
  <TotalTime>12</TotalTime>
  <ScaleCrop>false</ScaleCrop>
  <LinksUpToDate>false</LinksUpToDate>
  <CharactersWithSpaces>1310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幻</cp:lastModifiedBy>
  <dcterms:modified xsi:type="dcterms:W3CDTF">2024-01-25T08:57:05Z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5A6364881E424061A484DCEA5EE4861F_13</vt:lpwstr>
  </property>
</Properties>
</file>