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方正小标宋简体" w:cs="Times New Roman"/>
          <w:sz w:val="44"/>
          <w:szCs w:val="44"/>
        </w:rPr>
        <w:t>项目支出绩效自评报告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default" w:ascii="Times New Roman" w:hAnsi="Times New Roman" w:cs="Times New Roman"/>
          <w:b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>2022年度省级财政乡村振兴共同财政事权转移支付资金（市级乡村振兴战略考评奖补）项目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jc w:val="center"/>
        <w:textAlignment w:val="auto"/>
        <w:rPr>
          <w:rFonts w:hint="default" w:ascii="Times New Roman" w:hAnsi="Times New Roman" w:cs="Times New Roman"/>
          <w:color w:val="auto"/>
          <w:kern w:val="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</w:t>
      </w: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>项目概况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（一）项目基本情况：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</w:t>
      </w:r>
      <w:r>
        <w:rPr>
          <w:rFonts w:hint="eastAsia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年，绵竹市</w:t>
      </w:r>
      <w:r>
        <w:rPr>
          <w:rFonts w:hint="eastAsia" w:cs="Times New Roman"/>
          <w:sz w:val="32"/>
          <w:szCs w:val="32"/>
          <w:lang w:val="en-US" w:eastAsia="zh-CN"/>
        </w:rPr>
        <w:t>孝德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镇成功创建德阳市乡村振兴先进镇，</w:t>
      </w:r>
      <w:r>
        <w:rPr>
          <w:rFonts w:hint="eastAsia" w:cs="Times New Roman"/>
          <w:sz w:val="32"/>
          <w:szCs w:val="32"/>
          <w:lang w:val="en-US" w:eastAsia="zh-CN"/>
        </w:rPr>
        <w:t>广济镇卧云村、汉旺镇新开村、剑南街道柏杨村、新市镇花园村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成功创建德阳市乡村振兴示范村，获奖补资金90万元；绵竹市农业农村局作为项目的主管部门，负责项目的监督、指导、统筹协调。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（二）项目绩效目标。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1.德阳市乡村振兴先进镇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资金主要用于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支持粮食产业发展、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农村人居环境整治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以及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深化农业农村改革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三个方面。</w:t>
      </w: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具体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包括在年画村16组开展河道沟渠治理，进行河道清淤200米；在年画村16组开展河堤整治50米；在年画村16组新建房屋约45㎡；在年画村16组年画街坊房屋靠灌溉沟一侧，清理并转运杂树、垃圾并平整场地300m2；在年画村16组靠近河堤处迁移配电箱1座；在年画村16组修筑挡水坝1处；实施绵竹市孝德镇年画村、年俗村农文旅融合提升改造项目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2.德阳市乡村振兴示范村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cs="Times New Roman"/>
          <w:b/>
          <w:bCs/>
          <w:sz w:val="32"/>
          <w:szCs w:val="32"/>
          <w:lang w:val="en-US" w:eastAsia="zh-CN"/>
        </w:rPr>
        <w:t>新市镇花园村</w:t>
      </w:r>
      <w:r>
        <w:rPr>
          <w:rFonts w:hint="eastAsia" w:cs="Times New Roman"/>
          <w:sz w:val="32"/>
          <w:szCs w:val="32"/>
          <w:lang w:val="en-US" w:eastAsia="zh-CN"/>
        </w:rPr>
        <w:t>项目主要用于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支持粮食产业发展</w:t>
      </w: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深化农业农村改革</w:t>
      </w:r>
      <w:r>
        <w:rPr>
          <w:rFonts w:hint="eastAsia" w:ascii="Times New Roman" w:hAnsi="Times New Roman" w:cs="Times New Roman"/>
          <w:kern w:val="2"/>
          <w:sz w:val="32"/>
          <w:szCs w:val="32"/>
          <w:lang w:val="en-US" w:eastAsia="zh-CN" w:bidi="ar-SA"/>
        </w:rPr>
        <w:t>2个方面</w:t>
      </w: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，包括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购买插秧机1 台</w:t>
      </w: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；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制作村民议事厅牌匾 1 个，上墙村民议事制度5个。</w:t>
      </w: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汉旺镇新开村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项目主要用于支持粮食产业发展、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开展农村人居环境整治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。包括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购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买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碎枝机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旋耕机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2台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；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新建农灌沟渠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1条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290米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农灌沟渠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1条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160米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广济镇卧云村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项目主要用于支持粮食产业发展、产业发展基础设施配套。</w:t>
      </w:r>
      <w:r>
        <w:rPr>
          <w:rFonts w:hint="eastAsia" w:ascii="Times New Roman" w:hAnsi="Times New Roman" w:cs="Times New Roman"/>
          <w:kern w:val="2"/>
          <w:sz w:val="32"/>
          <w:szCs w:val="32"/>
          <w:lang w:val="en-US" w:eastAsia="zh-CN" w:bidi="ar-SA"/>
        </w:rPr>
        <w:t>包括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清掏沟渠1200米</w:t>
      </w:r>
      <w:r>
        <w:rPr>
          <w:rFonts w:hint="eastAsia" w:ascii="仿宋_GB2312" w:hAnsi="仿宋_GB2312" w:cs="仿宋_GB2312"/>
          <w:kern w:val="2"/>
          <w:sz w:val="32"/>
          <w:szCs w:val="32"/>
          <w:highlight w:val="none"/>
          <w:lang w:val="en-US" w:eastAsia="zh-CN" w:bidi="ar-SA"/>
        </w:rPr>
        <w:t>；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新建沟渠600米。</w:t>
      </w: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剑南街道柏杨村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项目主要用于支持粮食产业发展、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深化农业农村改革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两个方面。包括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购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买集中育秧流水线采购叠盘机2台，集中育秧流水线平板输送机10台；修复排洪河堤38.5米，新建机耕桥1座。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（三）项目自评步骤及方法：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对项目资金使用情况、项目管理情况、项目实施情况及项目绩效等方面进行自查和评价。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二、项目资金申报及使用情况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（一）项目资金申报及批复情况。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2022年奖补资金下达后，各项目镇、村编制资金使用方案，由绵竹市农业农村局</w:t>
      </w:r>
      <w:r>
        <w:rPr>
          <w:rFonts w:hint="eastAsia" w:cs="Times New Roman"/>
          <w:sz w:val="32"/>
          <w:szCs w:val="32"/>
          <w:lang w:val="en-US" w:eastAsia="zh-CN"/>
        </w:rPr>
        <w:t>征求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绵竹市财政局</w:t>
      </w:r>
      <w:r>
        <w:rPr>
          <w:rFonts w:hint="eastAsia" w:cs="Times New Roman"/>
          <w:sz w:val="32"/>
          <w:szCs w:val="32"/>
          <w:lang w:val="en-US" w:eastAsia="zh-CN"/>
        </w:rPr>
        <w:t>意见后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批复。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（二）资金计划、到位及使用情况（可用表格形式反映）。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zh-CN"/>
        </w:rPr>
        <w:t>1．资金计划。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德阳市乡村振兴奖补资金总计90万元，先进镇奖补资金50万元，示范村奖补资金10万元/村。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zh-CN"/>
        </w:rPr>
        <w:t>2．资金到位。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资金均已到位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zh-CN"/>
        </w:rPr>
        <w:t>3．资金使用。</w:t>
      </w:r>
      <w:r>
        <w:rPr>
          <w:rFonts w:hint="eastAsia" w:cs="Times New Roman"/>
          <w:sz w:val="32"/>
          <w:szCs w:val="32"/>
          <w:lang w:val="en-US" w:eastAsia="zh-CN"/>
        </w:rPr>
        <w:t>截至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2023年12月31日，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90万元资金均已按要求支付</w:t>
      </w:r>
      <w:r>
        <w:rPr>
          <w:rFonts w:hint="eastAsia" w:cs="Times New Roman"/>
          <w:sz w:val="32"/>
          <w:szCs w:val="32"/>
          <w:lang w:val="en-US" w:eastAsia="zh-CN"/>
        </w:rPr>
        <w:t>75万元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（三）项目财务管理情况。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绵竹市财政局对项目资金进行监管。各项目镇、村具体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负责资金管理。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三、项目实施及管理情况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（一）项目组织架构及实施流程。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德阳市奖补资金项目由各项目镇、村根据自身实际情况编制资金使用方案，资金使用方案由绵竹市农业农村局</w:t>
      </w:r>
      <w:r>
        <w:rPr>
          <w:rFonts w:hint="eastAsia" w:cs="Times New Roman"/>
          <w:sz w:val="32"/>
          <w:szCs w:val="32"/>
          <w:lang w:val="en-US" w:eastAsia="zh-CN"/>
        </w:rPr>
        <w:t>征求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绵竹市财政局</w:t>
      </w:r>
      <w:r>
        <w:rPr>
          <w:rFonts w:hint="eastAsia" w:cs="Times New Roman"/>
          <w:sz w:val="32"/>
          <w:szCs w:val="32"/>
          <w:lang w:val="en-US" w:eastAsia="zh-CN"/>
        </w:rPr>
        <w:t>意见后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批复。各项目镇、村在收到批复后开工实施。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（二）项目管理情况。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 w:eastAsia="zh-CN"/>
        </w:rPr>
        <w:t>各项目均采取村民自建的方式实施建设</w:t>
      </w:r>
      <w:r>
        <w:rPr>
          <w:rFonts w:hint="default" w:ascii="Times New Roman" w:hAnsi="Times New Roman" w:eastAsia="方正仿宋简体" w:cs="Times New Roman"/>
          <w:szCs w:val="32"/>
          <w:lang w:val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项目镇、村依据资金使用方案批复编制项目实施方案。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zh-CN" w:eastAsia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（三）项目监管情况。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项目实施方案经相关镇审批，并报绵竹市农业农村局和绵竹市财政局批复后开工实施。建设项目严格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 w:eastAsia="zh-CN"/>
        </w:rPr>
        <w:t>按照项目建设与资金管理的办法和规定进行管理。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四、项目绩效情况</w:t>
      </w:r>
      <w:r>
        <w:rPr>
          <w:rFonts w:hint="default" w:ascii="Times New Roman" w:hAnsi="Times New Roman" w:cs="Times New Roman"/>
          <w:sz w:val="32"/>
          <w:szCs w:val="32"/>
          <w:lang w:val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（一）项目完成情况。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项目均已实施完毕并通过验收审计。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（二）项目效益情况。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项目实施内容涉及道路硬化、沟渠整治、村容村貌提升等方面，建成后将改善村容村貌，提升群众幸福感、满意度，让群众出行更加便利，村居环境更加舒适，产业基础更加扎实。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五、评价结论及建议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（一）评价结论。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建设项目严格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 w:eastAsia="zh-CN"/>
        </w:rPr>
        <w:t>按照项目建设与资金管理的办法和规定进行管理。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项目实施单位财务管理制度健全，严格执行财务管理制度，账务处理及时，会计核算规范。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（二）存在的问题。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项目实施过程中项目资料收集有待加强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w:t>。</w:t>
      </w:r>
      <w:r>
        <w:rPr>
          <w:rFonts w:hint="default" w:ascii="Times New Roman" w:hAnsi="Times New Roman" w:cs="Times New Roman"/>
          <w:sz w:val="32"/>
          <w:szCs w:val="32"/>
          <w:lang w:val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（三）相关建议。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建议项目实施监管负责人加强对项目实施资料的收集、整理、汇总。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B5946AF-21D8-4DFB-BFFB-920061997FE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2894A06C-ED82-4A80-9EFE-3CE1BFE1AA08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3041383A-5861-4749-82C4-7598EE1DA6E9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D06F43F8-56D8-4576-B6BB-5B8BBF3386A7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5" w:fontKey="{4EDDC3C6-E3C7-4C24-8FE2-4FA89ADF302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312162B8-C176-4557-955A-69F3BA8E9B4D}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7" w:fontKey="{DC608AE6-72E5-42E3-969E-1127ED6CE612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yYzIzYmE3M2ZiMzQ2NzQwZTY1ZGI5ZjM5NDFlMWQifQ=="/>
  </w:docVars>
  <w:rsids>
    <w:rsidRoot w:val="00FD3EFA"/>
    <w:rsid w:val="001C6BC6"/>
    <w:rsid w:val="00291918"/>
    <w:rsid w:val="002E7D7A"/>
    <w:rsid w:val="00427240"/>
    <w:rsid w:val="00516306"/>
    <w:rsid w:val="00543D64"/>
    <w:rsid w:val="00572F4E"/>
    <w:rsid w:val="005842A2"/>
    <w:rsid w:val="008F6FBC"/>
    <w:rsid w:val="008F788A"/>
    <w:rsid w:val="00A25407"/>
    <w:rsid w:val="00A36A47"/>
    <w:rsid w:val="00AB1E4A"/>
    <w:rsid w:val="00AC3975"/>
    <w:rsid w:val="00E10AB9"/>
    <w:rsid w:val="00E4357F"/>
    <w:rsid w:val="00E90284"/>
    <w:rsid w:val="00F251E9"/>
    <w:rsid w:val="00F67C8D"/>
    <w:rsid w:val="00F951B3"/>
    <w:rsid w:val="00FD3EFA"/>
    <w:rsid w:val="00FD62E7"/>
    <w:rsid w:val="35B34B43"/>
    <w:rsid w:val="579157E5"/>
    <w:rsid w:val="6E6F1D25"/>
    <w:rsid w:val="71EC1CBD"/>
    <w:rsid w:val="746168E3"/>
    <w:rsid w:val="7A97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customStyle="1" w:styleId="6">
    <w:name w:val="正文2"/>
    <w:basedOn w:val="1"/>
    <w:next w:val="1"/>
    <w:autoRedefine/>
    <w:qFormat/>
    <w:uiPriority w:val="0"/>
  </w:style>
  <w:style w:type="character" w:customStyle="1" w:styleId="7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autoRedefine/>
    <w:qFormat/>
    <w:uiPriority w:val="99"/>
    <w:rPr>
      <w:sz w:val="18"/>
      <w:szCs w:val="18"/>
    </w:rPr>
  </w:style>
  <w:style w:type="paragraph" w:customStyle="1" w:styleId="9">
    <w:name w:val="四号正文"/>
    <w:basedOn w:val="1"/>
    <w:link w:val="10"/>
    <w:autoRedefine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10">
    <w:name w:val="四号正文 Char"/>
    <w:link w:val="9"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195</Words>
  <Characters>1117</Characters>
  <Lines>9</Lines>
  <Paragraphs>2</Paragraphs>
  <TotalTime>0</TotalTime>
  <ScaleCrop>false</ScaleCrop>
  <LinksUpToDate>false</LinksUpToDate>
  <CharactersWithSpaces>1310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2020-06-08T02:26:00Z</dcterms:created>
  <dc:creator>opi</dc:creator>
  <cp:lastModifiedBy>幻</cp:lastModifiedBy>
  <dcterms:modified xsi:type="dcterms:W3CDTF">2024-01-25T09:00:54Z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5A6364881E424061A484DCEA5EE4861F_13</vt:lpwstr>
  </property>
</Properties>
</file>