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 xml:space="preserve">     （2022年基层农技推广体系改革建设项目）</w:t>
      </w:r>
    </w:p>
    <w:p>
      <w:pPr>
        <w:spacing w:line="520" w:lineRule="exact"/>
        <w:jc w:val="center"/>
        <w:rPr>
          <w:rFonts w:ascii="??_GB2312" w:hAnsi="宋体"/>
        </w:rPr>
      </w:pPr>
      <w:r>
        <w:rPr>
          <w:rFonts w:hint="eastAsia" w:ascii="??_GB2312" w:hAnsi="宋体"/>
        </w:rPr>
        <w:t xml:space="preserve"> </w:t>
      </w:r>
    </w:p>
    <w:p>
      <w:pPr>
        <w:pStyle w:val="8"/>
        <w:spacing w:line="520" w:lineRule="exact"/>
        <w:ind w:firstLine="640"/>
        <w:jc w:val="center"/>
        <w:rPr>
          <w:rFonts w:hint="eastAsia" w:ascii="宋体"/>
          <w:color w:val="auto"/>
          <w:kern w:val="2"/>
          <w:sz w:val="32"/>
          <w:szCs w:val="32"/>
        </w:rPr>
      </w:pPr>
    </w:p>
    <w:p>
      <w:pPr>
        <w:widowControl/>
        <w:spacing w:line="52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1．说明项目主管部门（单位）在该项目管理中的职能。该项目由绵竹市农业农村局具体实施，主要负责项目统筹协调相关部门、制定政策、项目监管、资金管理等工作。</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立项、资金申报的依据。按照四川省财政厅、四川省农业农村厅《关于下达2022年中央财政农业生产发展资金的通知》（川财农〔2022〕68号）和四川省农业农村厅《关于印发四川省2022年基层农技推广体系改革与建设任务实施方案的通知》（川农函[2022]318号）等文件要求，结合我市实际实施该项目。</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3．资金管理办法制定情况，资金支持具体项目的条件、范围与支持方式概况。根据《四川省财政厅 四川省农业农村厅关于提前下达的2022年中央财政农业生产发展资金的通知》文件要求使用。</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资金分配的原则及考虑因素。2022年绵竹市基层农技推广改革与建设补助项目资金62万元：具体安排：农业技术推广服务5万元，主要用于农技推广宣传、农技推广技术服务资料杂志、制作明白纸、项目资金审计等费用；二是试验基地及科技示范主体补助12.00万元，用于试验示范基地、农业科技示范户开展新品种、新技术试验示范、基地标识标牌建设等方面。三是农业技术能力建设补助：45.00万元；（其中招募特聘农技员（动物防疫专员）30万元；基层农业技术人员参加知识更新培训费用15.00万元）。</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主要内容。一是基层农技推广服务水平明显提高，农技推广服务对象满意度大于等于80%。二是建立3个示范带动效果明显、长期稳定的农业科技示范基地。三是基层农技人员业务水平和服务能力进一步提高，参加5天以上脱产业务培训80人（含遴选培育4名知识全面、技能过硬、服务优良的基层农技推广骨干人才），招募特聘农技员（或动物防疫员）5人以上；四是基层农技人员应用信息化手段，使用中国农技推广APP，对"中国农技推广”APP的使用率达到90%以上，开展农业技术信息服务。五是推广优质安全、节本增效、生态环保的主推技术，农业主推技术到位率超过95%。六是新培育2个农业科技示范主体。</w:t>
      </w:r>
    </w:p>
    <w:p>
      <w:pPr>
        <w:pStyle w:val="2"/>
        <w:ind w:right="-119"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2．项目应实现的具体绩效目标，包括目标的量化、细化情况以及项目实施进度计划等。农技推广服务对象满意度大于等于80%；对“中国农技推广”APP的使用率达到90%以上；农业主推技术到位率超过95%。</w:t>
      </w:r>
    </w:p>
    <w:p>
      <w:pPr>
        <w:pStyle w:val="2"/>
        <w:ind w:right="-119" w:firstLine="640" w:firstLineChars="200"/>
        <w:jc w:val="left"/>
      </w:pPr>
      <w:r>
        <w:rPr>
          <w:rFonts w:hint="eastAsia" w:ascii="仿宋_GB2312" w:hAnsi="仿宋_GB2312" w:eastAsia="仿宋_GB2312" w:cs="仿宋_GB2312"/>
          <w:color w:val="auto"/>
          <w:sz w:val="32"/>
          <w:szCs w:val="32"/>
        </w:rPr>
        <w:t>3．分析评价申报内容是否与实际相符，申报目标是否合理可行。该项目申报内容与实际相符，申报目标合理可行。</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widowControl/>
        <w:spacing w:line="520" w:lineRule="exact"/>
        <w:ind w:firstLine="640" w:firstLineChars="200"/>
        <w:rPr>
          <w:rFonts w:ascii="仿宋" w:hAnsi="仿宋" w:eastAsia="仿宋" w:cs="仿宋_GB2312"/>
          <w:color w:val="292929"/>
        </w:rPr>
      </w:pPr>
      <w:r>
        <w:rPr>
          <w:rFonts w:hint="eastAsia" w:ascii="仿宋_GB2312" w:hAnsi="仿宋_GB2312" w:eastAsia="仿宋_GB2312" w:cs="仿宋_GB2312"/>
        </w:rPr>
        <w:t>一是为全面了解工作开展情况及工作成效，切实加强对农技推广人员的监督管理，成立项目绩效考评工作组。二是依据制定的考核办法，采取查看资料与实地核实相结合的方式，对照基层农技推广体系建设政策落实延伸绩效管理自评考核内容和考核指标体系，对农技推广人员的工作进行量化打分。三是依据下达的任务清单和绩效目标，以农技推广服务工作量、服务对象满意度、支撑主导产业发展成效等为主要考核标准，制定好《农技推广示范县绩效考评评分表》，进行绵竹市基层农技推广体系改革与建设项目工作绩效考评。四是评估考核工作采取县级农业主管部门自评，对照绩效管理内容和具体指标进行自评打分，形成自评报告，完成了对我市2022年度基层农技推广体系改革与建设补助项目落实延伸绩效管理的自评工作。</w:t>
      </w:r>
    </w:p>
    <w:p>
      <w:pPr>
        <w:adjustRightInd w:val="0"/>
        <w:snapToGrid w:val="0"/>
        <w:spacing w:line="520" w:lineRule="exact"/>
        <w:ind w:firstLine="720"/>
        <w:rPr>
          <w:rFonts w:ascii="黑体" w:hAnsi="宋体" w:eastAsia="黑体"/>
        </w:rPr>
      </w:pPr>
      <w:r>
        <w:rPr>
          <w:rFonts w:hint="eastAsia" w:ascii="黑体" w:hAnsi="宋体" w:eastAsia="黑体"/>
        </w:rPr>
        <w:t>二、项目资金申报及使用情况</w:t>
      </w:r>
    </w:p>
    <w:p>
      <w:pPr>
        <w:widowControl/>
        <w:spacing w:line="520" w:lineRule="exact"/>
        <w:ind w:firstLine="643" w:firstLineChars="200"/>
        <w:rPr>
          <w:rFonts w:ascii="楷体_GB2312" w:hAnsi="宋体" w:eastAsia="楷体_GB2312"/>
          <w:b/>
          <w:lang w:val="zh-CN"/>
        </w:rPr>
      </w:pPr>
      <w:r>
        <w:rPr>
          <w:rFonts w:hint="eastAsia" w:ascii="楷体_GB2312" w:hAnsi="宋体" w:eastAsia="楷体_GB2312"/>
          <w:b/>
          <w:lang w:val="zh-CN"/>
        </w:rPr>
        <w:t>（一）项目资金申报及批复情况。</w:t>
      </w:r>
    </w:p>
    <w:p>
      <w:pPr>
        <w:widowControl/>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根据《四川省财政厅 四川省农业农村厅关于提前下达的2022年中央财政农业生产发展资金的通知》文件精神，作为2022年基层农技推广体系改革与建设补助项目</w:t>
      </w:r>
      <w:r>
        <w:rPr>
          <w:rFonts w:hint="eastAsia" w:ascii="仿宋_GB2312" w:hAnsi="仿宋_GB2312" w:eastAsia="仿宋_GB2312" w:cs="仿宋_GB2312"/>
          <w:lang w:val="zh-CN"/>
        </w:rPr>
        <w:t>立项、资金申报的依据。</w:t>
      </w:r>
    </w:p>
    <w:p>
      <w:pPr>
        <w:adjustRightInd w:val="0"/>
        <w:snapToGrid w:val="0"/>
        <w:spacing w:line="52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widowControl/>
        <w:spacing w:line="520" w:lineRule="exact"/>
        <w:ind w:firstLine="560" w:firstLineChars="200"/>
        <w:rPr>
          <w:rFonts w:ascii="仿宋_GB2312" w:hAnsi="仿宋_GB2312" w:eastAsia="仿宋_GB2312" w:cs="仿宋_GB2312"/>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仿宋_GB2312" w:eastAsia="仿宋_GB2312" w:cs="仿宋_GB2312"/>
        </w:rPr>
        <w:t>2022年绵竹市基层农技推广改革与建设补助项目资金62万元，具体安排：农业技术推广服务5万元，主要用于农技推广宣传、农技推广技术服务资料杂志、制作明白纸、项目资金审计等费用；二是试验基地及科技示范主体补助12.00万元，用于试验示范基地、农业科技示范户开展新品种、新技术试验示范、基地标识标牌建设等方面。三是农业技术能力建设补助：45.00万元；（其中招募特聘农技员（动物防疫专员）30万元；基层农业技术人员参加知识更新培训费用15.00万元）。</w:t>
      </w:r>
      <w:bookmarkStart w:id="0" w:name="_GoBack"/>
      <w:bookmarkEnd w:id="0"/>
      <w:r>
        <w:rPr>
          <w:rFonts w:hint="eastAsia" w:ascii="仿宋_GB2312" w:hAnsi="仿宋_GB2312" w:eastAsia="仿宋_GB2312" w:cs="仿宋_GB2312"/>
          <w:lang w:eastAsia="zh-CN"/>
        </w:rPr>
        <w:t>截至</w:t>
      </w:r>
      <w:r>
        <w:rPr>
          <w:rFonts w:hint="eastAsia" w:ascii="仿宋_GB2312" w:hAnsi="仿宋_GB2312" w:eastAsia="仿宋_GB2312" w:cs="仿宋_GB2312"/>
        </w:rPr>
        <w:t>目前项目资金已使用52.811万元。</w:t>
      </w:r>
    </w:p>
    <w:p>
      <w:pPr>
        <w:widowControl/>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2．资金到位。该项目资金62万元已全部到位。</w:t>
      </w:r>
    </w:p>
    <w:p>
      <w:pPr>
        <w:widowControl/>
        <w:spacing w:line="520" w:lineRule="exact"/>
        <w:ind w:firstLine="640" w:firstLineChars="200"/>
      </w:pPr>
      <w:r>
        <w:rPr>
          <w:rFonts w:hint="eastAsia" w:ascii="仿宋_GB2312" w:hAnsi="仿宋_GB2312" w:eastAsia="仿宋_GB2312" w:cs="仿宋_GB2312"/>
        </w:rPr>
        <w:t>3．资金使用。2023年项目资金</w:t>
      </w:r>
      <w:r>
        <w:rPr>
          <w:rFonts w:ascii="仿宋_GB2312" w:hAnsi="仿宋_GB2312" w:eastAsia="仿宋_GB2312" w:cs="仿宋_GB2312"/>
        </w:rPr>
        <w:t>33</w:t>
      </w:r>
      <w:r>
        <w:rPr>
          <w:rFonts w:hint="eastAsia" w:ascii="仿宋_GB2312" w:hAnsi="仿宋_GB2312" w:eastAsia="仿宋_GB2312" w:cs="仿宋_GB2312"/>
        </w:rPr>
        <w:t>.</w:t>
      </w:r>
      <w:r>
        <w:rPr>
          <w:rFonts w:ascii="仿宋_GB2312" w:hAnsi="仿宋_GB2312" w:eastAsia="仿宋_GB2312" w:cs="仿宋_GB2312"/>
        </w:rPr>
        <w:t>899503</w:t>
      </w:r>
      <w:r>
        <w:rPr>
          <w:rFonts w:hint="eastAsia" w:ascii="仿宋_GB2312" w:hAnsi="仿宋_GB2312" w:eastAsia="仿宋_GB2312" w:cs="仿宋_GB2312"/>
        </w:rPr>
        <w:t>万元，实际支出资金</w:t>
      </w:r>
      <w:r>
        <w:rPr>
          <w:rFonts w:ascii="仿宋_GB2312" w:hAnsi="仿宋_GB2312" w:eastAsia="仿宋_GB2312" w:cs="仿宋_GB2312"/>
        </w:rPr>
        <w:t>25</w:t>
      </w:r>
      <w:r>
        <w:rPr>
          <w:rFonts w:hint="eastAsia" w:ascii="仿宋_GB2312" w:hAnsi="仿宋_GB2312" w:eastAsia="仿宋_GB2312" w:cs="仿宋_GB2312"/>
        </w:rPr>
        <w:t>.</w:t>
      </w:r>
      <w:r>
        <w:rPr>
          <w:rFonts w:ascii="仿宋_GB2312" w:hAnsi="仿宋_GB2312" w:eastAsia="仿宋_GB2312" w:cs="仿宋_GB2312"/>
        </w:rPr>
        <w:t>045503</w:t>
      </w:r>
      <w:r>
        <w:rPr>
          <w:rFonts w:hint="eastAsia" w:ascii="仿宋_GB2312" w:hAnsi="仿宋_GB2312" w:eastAsia="仿宋_GB2312" w:cs="仿宋_GB2312"/>
        </w:rPr>
        <w:t>万元，财政收回结余资金</w:t>
      </w:r>
      <w:r>
        <w:rPr>
          <w:rFonts w:ascii="仿宋_GB2312" w:hAnsi="仿宋_GB2312" w:eastAsia="仿宋_GB2312" w:cs="仿宋_GB2312"/>
        </w:rPr>
        <w:t>8</w:t>
      </w:r>
      <w:r>
        <w:rPr>
          <w:rFonts w:hint="eastAsia" w:ascii="仿宋_GB2312" w:hAnsi="仿宋_GB2312" w:eastAsia="仿宋_GB2312" w:cs="仿宋_GB2312"/>
        </w:rPr>
        <w:t>.</w:t>
      </w:r>
      <w:r>
        <w:rPr>
          <w:rFonts w:ascii="仿宋_GB2312" w:hAnsi="仿宋_GB2312" w:eastAsia="仿宋_GB2312" w:cs="仿宋_GB2312"/>
        </w:rPr>
        <w:t>8540</w:t>
      </w:r>
      <w:r>
        <w:rPr>
          <w:rFonts w:hint="eastAsia" w:ascii="仿宋_GB2312" w:hAnsi="仿宋_GB2312" w:eastAsia="仿宋_GB2312" w:cs="仿宋_GB2312"/>
        </w:rPr>
        <w:t>万元。</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widowControl/>
        <w:spacing w:line="520" w:lineRule="exact"/>
        <w:ind w:firstLine="640" w:firstLineChars="200"/>
        <w:rPr>
          <w:rFonts w:ascii="仿宋_GB2312" w:hAnsi="仿宋_GB2312" w:eastAsia="仿宋_GB2312" w:cs="仿宋_GB2312"/>
          <w:lang w:val="zh-CN"/>
        </w:rPr>
      </w:pPr>
      <w:r>
        <w:rPr>
          <w:rFonts w:hint="eastAsia" w:ascii="仿宋_GB2312" w:hAnsi="仿宋_GB2312" w:eastAsia="仿宋_GB2312" w:cs="仿宋_GB2312"/>
        </w:rPr>
        <w:t>该项目严格按照实施方案的进度安排有序推进工作，资金管理做到专款专用、合理合规，采取报帐制进行管理，按资金使用方案进行开支。</w:t>
      </w:r>
      <w:r>
        <w:rPr>
          <w:rFonts w:hint="eastAsia" w:ascii="仿宋_GB2312" w:hAnsi="仿宋_GB2312" w:eastAsia="仿宋_GB2312" w:cs="仿宋_GB2312"/>
          <w:lang w:val="zh-CN"/>
        </w:rPr>
        <w:t>财务管理制度健全，严格执行财务管理制度，账务处理及时，会计核算规范。</w:t>
      </w:r>
    </w:p>
    <w:p>
      <w:pPr>
        <w:spacing w:line="520" w:lineRule="exact"/>
        <w:ind w:firstLine="640" w:firstLineChars="200"/>
        <w:jc w:val="left"/>
        <w:rPr>
          <w:rFonts w:ascii="黑体" w:hAnsi="宋体" w:eastAsia="黑体"/>
        </w:rPr>
      </w:pPr>
      <w:r>
        <w:rPr>
          <w:rFonts w:hint="eastAsia" w:ascii="黑体" w:hAnsi="宋体" w:eastAsia="黑体"/>
        </w:rPr>
        <w:t>三、项目实施及管理情况</w:t>
      </w:r>
    </w:p>
    <w:p>
      <w:pPr>
        <w:spacing w:line="520" w:lineRule="exact"/>
        <w:ind w:firstLine="640" w:firstLineChars="200"/>
        <w:jc w:val="left"/>
      </w:pPr>
      <w:r>
        <w:rPr>
          <w:rFonts w:hint="eastAsia" w:ascii="仿宋_GB2312" w:hAnsi="仿宋_GB2312" w:eastAsia="仿宋_GB2312" w:cs="仿宋_GB2312"/>
        </w:rPr>
        <w:t>该项目严格按照实施方案的进度安排有序推进工作，资金管理做到专款专用、合理合规，采取报帐制进行管理，按资金使用方案进行开支。财务管理制度健全，严格执行财务管理制度，账务处理及时，会计核算规范。</w:t>
      </w:r>
    </w:p>
    <w:p>
      <w:pPr>
        <w:spacing w:line="520" w:lineRule="exact"/>
        <w:ind w:firstLine="643" w:firstLineChars="200"/>
        <w:jc w:val="left"/>
        <w:rPr>
          <w:rFonts w:ascii="楷体_GB2312" w:hAnsi="宋体" w:eastAsia="楷体_GB2312"/>
          <w:bCs/>
          <w:lang w:val="zh-CN"/>
        </w:rPr>
      </w:pPr>
      <w:r>
        <w:rPr>
          <w:rFonts w:hint="eastAsia" w:ascii="楷体_GB2312" w:hAnsi="宋体" w:eastAsia="楷体_GB2312"/>
          <w:b/>
          <w:lang w:val="zh-CN"/>
        </w:rPr>
        <w:t>（一）项目组织架构及实施流程</w:t>
      </w:r>
    </w:p>
    <w:p>
      <w:pPr>
        <w:spacing w:line="520" w:lineRule="exact"/>
        <w:ind w:firstLine="640" w:firstLineChars="200"/>
        <w:jc w:val="left"/>
        <w:rPr>
          <w:rFonts w:ascii="楷体_GB2312" w:hAnsi="宋体" w:eastAsia="楷体_GB2312"/>
          <w:b/>
        </w:rPr>
      </w:pPr>
      <w:r>
        <w:rPr>
          <w:rFonts w:hint="eastAsia" w:ascii="仿宋_GB2312" w:hAnsi="仿宋_GB2312" w:eastAsia="仿宋_GB2312" w:cs="仿宋_GB2312"/>
        </w:rPr>
        <w:t>调整由分管副市长为组长，市财政局、农业农村局主要领导为副组长，相关单位负责同志为成员的“绵竹市2022年基层农技推广体系改革与建设任务实施领导小组”，负责统筹协调相关部门、制定政策、调配经费等工作。领导小组下设办公室，负责日常管理工作，办公室设在市农业农村局，由市农业推广中心副主任吕兴平担任办公室主任。</w:t>
      </w:r>
    </w:p>
    <w:p>
      <w:pPr>
        <w:spacing w:line="520" w:lineRule="exact"/>
        <w:ind w:firstLine="643" w:firstLineChars="200"/>
        <w:rPr>
          <w:rFonts w:ascii="仿宋" w:hAnsi="仿宋" w:eastAsia="仿宋" w:cs="仿宋_GB2312"/>
          <w:b/>
        </w:rPr>
      </w:pPr>
      <w:r>
        <w:rPr>
          <w:rFonts w:hint="eastAsia" w:ascii="楷体_GB2312" w:hAnsi="宋体" w:eastAsia="楷体_GB2312"/>
          <w:b/>
          <w:lang w:val="zh-CN"/>
        </w:rPr>
        <w:t>（</w:t>
      </w:r>
      <w:r>
        <w:rPr>
          <w:rFonts w:hint="eastAsia" w:ascii="楷体_GB2312" w:hAnsi="宋体" w:eastAsia="楷体_GB2312"/>
          <w:b/>
        </w:rPr>
        <w:t>二</w:t>
      </w:r>
      <w:r>
        <w:rPr>
          <w:rFonts w:hint="eastAsia" w:ascii="楷体_GB2312" w:hAnsi="宋体" w:eastAsia="楷体_GB2312"/>
          <w:b/>
          <w:lang w:val="zh-CN"/>
        </w:rPr>
        <w:t>）项目管理情况</w:t>
      </w:r>
      <w:r>
        <w:rPr>
          <w:rFonts w:hint="eastAsia" w:ascii="仿宋" w:hAnsi="仿宋" w:eastAsia="仿宋" w:cs="仿宋_GB2312"/>
          <w:b/>
        </w:rPr>
        <w:t>。</w:t>
      </w:r>
    </w:p>
    <w:p>
      <w:pPr>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根据项目管理要求，明确补助对象、补助标准、补助方式、实施要求和监管措施，为确保项目建设廉洁高效，特制定《绵竹市农业局农业项目实施管理制度》，其内容主要包括项目资金的使用和管理、严格项目招投标管理、强化项目监管、加强对项目完成情况的检查验收，从而使我市基层农技推广体系改革与建设项目资金的使用和管理按制度执行。一是制定各项管理制度，落实工作责任分工，统一项目实施行为规范。二是按照《农业相关转移支付资金绩效管理办法》，强化过程管理，严格绩效考核。三是加强监督管理，及时掌握项目执行进展和资金使用情况。四是加强信息管理，确定信息管理员，依托“中国农技推广信息服务平台”、“农业农村投资管理项目平台”及时填报相关信息，加强绩效管理。</w:t>
      </w:r>
    </w:p>
    <w:p>
      <w:pPr>
        <w:spacing w:line="52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（三）项目监管情况。</w:t>
      </w:r>
    </w:p>
    <w:p>
      <w:pPr>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一是制定各项管理制度，落实工作责任分工，统一项目实施行为规范。二是使用国家农技推广机构统一标识，规范定制农业科技试验示范基地标牌、技术指导员胸牌和科技示范户门牌。三是加强监督管理，项目办不定期开展督导检查，确保政策落实到位。四是加强信息管理，确定专门信息管理员，利用全国农技推广补助项目管理信息系统，及时填报相关信息。</w:t>
      </w:r>
    </w:p>
    <w:p>
      <w:pPr>
        <w:spacing w:line="520" w:lineRule="exact"/>
        <w:ind w:firstLine="640" w:firstLineChars="200"/>
        <w:rPr>
          <w:rFonts w:ascii="仿宋_GB2312" w:hAnsi="仿宋_GB2312" w:eastAsia="仿宋_GB2312" w:cs="仿宋_GB2312"/>
        </w:rPr>
      </w:pPr>
    </w:p>
    <w:p>
      <w:pPr>
        <w:adjustRightInd w:val="0"/>
        <w:snapToGrid w:val="0"/>
        <w:spacing w:line="52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widowControl/>
        <w:spacing w:line="520" w:lineRule="exact"/>
        <w:ind w:firstLine="640" w:firstLineChars="200"/>
      </w:pPr>
      <w:r>
        <w:rPr>
          <w:rFonts w:hint="eastAsia" w:ascii="仿宋_GB2312" w:hAnsi="仿宋_GB2312" w:eastAsia="仿宋_GB2312" w:cs="仿宋_GB2312"/>
        </w:rPr>
        <w:t>按照《绵竹市2022年基层农技推广体系改革与建设任务实施方案》的要求，全年全市择优选派36名农业技术指导员；培育农业科技示范主体126户；建立农业科技试验示范基地3个；组织76人参加德阳市级调训，4人参加骨干培训，招募特聘农技员（或动物防疫员）8人；全年"中国农技推广”APP的使用率达到90%以上，农技推广服务对象抽样满意度80%，农业主推技术到位率95%以上。2023年项目资金</w:t>
      </w:r>
      <w:r>
        <w:rPr>
          <w:rFonts w:ascii="仿宋_GB2312" w:hAnsi="仿宋_GB2312" w:eastAsia="仿宋_GB2312" w:cs="仿宋_GB2312"/>
        </w:rPr>
        <w:t>33</w:t>
      </w:r>
      <w:r>
        <w:rPr>
          <w:rFonts w:hint="eastAsia" w:ascii="仿宋_GB2312" w:hAnsi="仿宋_GB2312" w:eastAsia="仿宋_GB2312" w:cs="仿宋_GB2312"/>
        </w:rPr>
        <w:t>.</w:t>
      </w:r>
      <w:r>
        <w:rPr>
          <w:rFonts w:ascii="仿宋_GB2312" w:hAnsi="仿宋_GB2312" w:eastAsia="仿宋_GB2312" w:cs="仿宋_GB2312"/>
        </w:rPr>
        <w:t>899503</w:t>
      </w:r>
      <w:r>
        <w:rPr>
          <w:rFonts w:hint="eastAsia" w:ascii="仿宋_GB2312" w:hAnsi="仿宋_GB2312" w:eastAsia="仿宋_GB2312" w:cs="仿宋_GB2312"/>
        </w:rPr>
        <w:t>万元，实际支出资金</w:t>
      </w:r>
      <w:r>
        <w:rPr>
          <w:rFonts w:ascii="仿宋_GB2312" w:hAnsi="仿宋_GB2312" w:eastAsia="仿宋_GB2312" w:cs="仿宋_GB2312"/>
        </w:rPr>
        <w:t>25</w:t>
      </w:r>
      <w:r>
        <w:rPr>
          <w:rFonts w:hint="eastAsia" w:ascii="仿宋_GB2312" w:hAnsi="仿宋_GB2312" w:eastAsia="仿宋_GB2312" w:cs="仿宋_GB2312"/>
        </w:rPr>
        <w:t>.</w:t>
      </w:r>
      <w:r>
        <w:rPr>
          <w:rFonts w:ascii="仿宋_GB2312" w:hAnsi="仿宋_GB2312" w:eastAsia="仿宋_GB2312" w:cs="仿宋_GB2312"/>
        </w:rPr>
        <w:t>045503</w:t>
      </w:r>
      <w:r>
        <w:rPr>
          <w:rFonts w:hint="eastAsia" w:ascii="仿宋_GB2312" w:hAnsi="仿宋_GB2312" w:eastAsia="仿宋_GB2312" w:cs="仿宋_GB2312"/>
        </w:rPr>
        <w:t>万元，财政收回结余资金</w:t>
      </w:r>
      <w:r>
        <w:rPr>
          <w:rFonts w:ascii="仿宋_GB2312" w:hAnsi="仿宋_GB2312" w:eastAsia="仿宋_GB2312" w:cs="仿宋_GB2312"/>
        </w:rPr>
        <w:t>8</w:t>
      </w:r>
      <w:r>
        <w:rPr>
          <w:rFonts w:hint="eastAsia" w:ascii="仿宋_GB2312" w:hAnsi="仿宋_GB2312" w:eastAsia="仿宋_GB2312" w:cs="仿宋_GB2312"/>
        </w:rPr>
        <w:t>.</w:t>
      </w:r>
      <w:r>
        <w:rPr>
          <w:rFonts w:ascii="仿宋_GB2312" w:hAnsi="仿宋_GB2312" w:eastAsia="仿宋_GB2312" w:cs="仿宋_GB2312"/>
        </w:rPr>
        <w:t>8540</w:t>
      </w:r>
      <w:r>
        <w:rPr>
          <w:rFonts w:hint="eastAsia" w:ascii="仿宋_GB2312" w:hAnsi="仿宋_GB2312" w:eastAsia="仿宋_GB2312" w:cs="仿宋_GB2312"/>
        </w:rPr>
        <w:t>万元。</w:t>
      </w:r>
    </w:p>
    <w:p>
      <w:pPr>
        <w:adjustRightInd w:val="0"/>
        <w:snapToGrid w:val="0"/>
        <w:spacing w:line="520" w:lineRule="exact"/>
        <w:ind w:firstLine="720"/>
        <w:rPr>
          <w:rFonts w:hint="eastAsia" w:ascii="楷体_GB2312" w:hAnsi="宋体" w:eastAsia="楷体_GB2312"/>
          <w:b/>
        </w:rPr>
      </w:pPr>
      <w:r>
        <w:rPr>
          <w:rFonts w:hint="eastAsia" w:ascii="楷体_GB2312" w:hAnsi="宋体" w:eastAsia="楷体_GB2312"/>
          <w:b/>
        </w:rPr>
        <w:t>（二）</w:t>
      </w:r>
      <w:r>
        <w:rPr>
          <w:rFonts w:hint="eastAsia" w:ascii="楷体_GB2312" w:hAnsi="宋体" w:eastAsia="楷体_GB2312"/>
          <w:b/>
          <w:lang w:val="zh-CN"/>
        </w:rPr>
        <w:t>项目效益</w:t>
      </w:r>
      <w:r>
        <w:rPr>
          <w:rFonts w:hint="eastAsia" w:ascii="楷体_GB2312" w:hAnsi="宋体" w:eastAsia="楷体_GB2312"/>
          <w:b/>
        </w:rPr>
        <w:t>情况</w:t>
      </w:r>
    </w:p>
    <w:p>
      <w:pPr>
        <w:adjustRightInd w:val="0"/>
        <w:snapToGrid w:val="0"/>
        <w:spacing w:line="520" w:lineRule="exact"/>
        <w:ind w:firstLine="720"/>
        <w:rPr>
          <w:rFonts w:hint="eastAsia" w:ascii="黑体" w:hAnsi="宋体" w:eastAsia="黑体"/>
        </w:rPr>
      </w:pPr>
      <w:r>
        <w:rPr>
          <w:rFonts w:hint="eastAsia" w:ascii="楷体_GB2312" w:hAnsi="宋体" w:eastAsia="楷体_GB2312"/>
        </w:rPr>
        <w:t>通过实施基层农技推广体系改革与建设项目，切实理顺了农技推广机构管理体制，提升了基层农技推广人员能力素质，发掘了各方面的潜在力量，提高了广大技术人员的推广积极性；加快了新技术、新品种的推广，农技推广信息化建设进一步加强；通过培育科技示范基地及科技示范主体，发挥了示范引领作用，加强了农业主推技术推广；群众对科技兴农的认识进一步提高，科学种田素质明显提高，示范带动作用明显，示范户和示范基地产量和效益也十分显著。</w:t>
      </w:r>
    </w:p>
    <w:p>
      <w:pPr>
        <w:adjustRightInd w:val="0"/>
        <w:snapToGrid w:val="0"/>
        <w:spacing w:line="520" w:lineRule="exact"/>
        <w:ind w:firstLine="720"/>
        <w:rPr>
          <w:rFonts w:ascii="黑体" w:hAnsi="宋体" w:eastAsia="黑体"/>
        </w:rPr>
      </w:pPr>
      <w:r>
        <w:rPr>
          <w:rFonts w:hint="eastAsia" w:ascii="黑体" w:hAnsi="宋体" w:eastAsia="黑体"/>
        </w:rPr>
        <w:t>五、评价结论及建议</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（一）评价结论。</w:t>
      </w:r>
    </w:p>
    <w:p>
      <w:pPr>
        <w:widowControl/>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本项目支出绩效自评98分。通过实施基层农技推广体系改革与建设项目，切实理顺了农技推广机构管理体制，发掘了各方面的潜在力量，提高了广大技术人员的推广积极性；基层农技推广人员能力素质有所提升；科技示范户、科技示范基地发挥了示范引领作用，加强了农业主推技术推广；农技推广信息化建设进一步加强；农科教产学研一体化农技推广联盟建设效果明显；加快了新技术、新品种的推广，广大技术人员得到了群众的认可，得到了群众的大力支持；通过培育科技示范户，群众对科技兴农的认识进一步提高，科学种田素质明显提高，示范带动作用明显，示范户和示范基地产量和效益也十分显著。</w:t>
      </w:r>
    </w:p>
    <w:p>
      <w:pPr>
        <w:adjustRightInd w:val="0"/>
        <w:snapToGrid w:val="0"/>
        <w:spacing w:line="520" w:lineRule="exact"/>
        <w:ind w:firstLine="720"/>
        <w:rPr>
          <w:rFonts w:ascii="楷体_GB2312" w:hAnsi="宋体" w:eastAsia="楷体_GB2312"/>
          <w:b/>
          <w:lang w:val="zh-CN"/>
        </w:rPr>
      </w:pPr>
      <w:r>
        <w:rPr>
          <w:rFonts w:hint="eastAsia" w:ascii="楷体_GB2312" w:hAnsi="宋体" w:eastAsia="楷体_GB2312"/>
          <w:b/>
          <w:lang w:val="zh-CN"/>
        </w:rPr>
        <w:t>（</w:t>
      </w:r>
      <w:r>
        <w:rPr>
          <w:rFonts w:hint="eastAsia" w:ascii="楷体_GB2312" w:hAnsi="宋体" w:eastAsia="楷体_GB2312"/>
          <w:b/>
        </w:rPr>
        <w:t>二</w:t>
      </w:r>
      <w:r>
        <w:rPr>
          <w:rFonts w:hint="eastAsia" w:ascii="楷体_GB2312" w:hAnsi="宋体" w:eastAsia="楷体_GB2312"/>
          <w:b/>
          <w:lang w:val="zh-CN"/>
        </w:rPr>
        <w:t>）存在的问题。</w:t>
      </w:r>
    </w:p>
    <w:p>
      <w:pPr>
        <w:widowControl/>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一是市镇农技推广队伍人员结构老化，从业人员年龄偏大，存在新知识运用不足，知识结构单一等情况，建议及时扩充和强化推广队伍建设；二是进一步优化基层农技人员知识更新培训工作，优化培训机构、更新培训地点、丰富培训方式，借此来提高科技推广能力建设；三是加快新型农业经营主体建设，不断完善新技术、新品种推广培训机制。</w:t>
      </w:r>
    </w:p>
    <w:p>
      <w:pPr>
        <w:snapToGrid w:val="0"/>
        <w:spacing w:line="520" w:lineRule="exact"/>
        <w:ind w:firstLine="643" w:firstLineChars="200"/>
        <w:jc w:val="left"/>
        <w:rPr>
          <w:rFonts w:hint="eastAsia" w:ascii="楷体_GB2312" w:hAnsi="宋体" w:eastAsia="楷体_GB2312"/>
          <w:b/>
          <w:lang w:val="zh-CN"/>
        </w:rPr>
      </w:pPr>
      <w:r>
        <w:rPr>
          <w:rFonts w:hint="eastAsia" w:ascii="楷体_GB2312" w:hAnsi="宋体" w:eastAsia="楷体_GB2312"/>
          <w:b/>
          <w:lang w:val="zh-CN"/>
        </w:rPr>
        <w:t>（三）相关建议</w:t>
      </w:r>
    </w:p>
    <w:p>
      <w:pPr>
        <w:snapToGrid w:val="0"/>
        <w:spacing w:line="520" w:lineRule="exact"/>
        <w:ind w:firstLine="640" w:firstLineChars="200"/>
        <w:jc w:val="left"/>
        <w:rPr>
          <w:rFonts w:ascii="仿宋_GB2312" w:hAnsi="仿宋_GB2312" w:eastAsia="仿宋_GB2312" w:cs="仿宋_GB2312"/>
        </w:rPr>
      </w:pPr>
      <w:r>
        <w:rPr>
          <w:rFonts w:hint="eastAsia" w:ascii="仿宋_GB2312" w:hAnsi="仿宋_GB2312" w:eastAsia="仿宋_GB2312" w:cs="仿宋_GB2312"/>
        </w:rPr>
        <w:t>继续根据农民需求和生产季节加大开展农业生产技术培训力度；进一步加强农技推广技术服务信息化建设，鼓励农技人员使用中国农技推广APP开展技术服务；结合我市实际，大力推广农业主推技术。</w:t>
      </w:r>
    </w:p>
    <w:p>
      <w:pPr>
        <w:widowControl/>
        <w:spacing w:line="520" w:lineRule="exact"/>
        <w:ind w:firstLine="640" w:firstLineChars="200"/>
        <w:rPr>
          <w:rFonts w:ascii="仿宋" w:hAnsi="仿宋" w:eastAsia="仿宋" w:cs="仿宋_GB2312"/>
          <w:color w:val="292929"/>
        </w:rPr>
      </w:pPr>
    </w:p>
    <w:p>
      <w:pPr>
        <w:widowControl/>
        <w:spacing w:line="520" w:lineRule="exact"/>
        <w:ind w:firstLine="640" w:firstLineChars="200"/>
        <w:rPr>
          <w:rFonts w:ascii="仿宋" w:hAnsi="仿宋" w:eastAsia="仿宋" w:cs="仿宋_GB2312"/>
          <w:color w:val="292929"/>
        </w:rPr>
      </w:pPr>
    </w:p>
    <w:p>
      <w:pPr>
        <w:widowControl/>
        <w:spacing w:line="520" w:lineRule="exact"/>
        <w:ind w:firstLine="640" w:firstLineChars="200"/>
        <w:rPr>
          <w:rFonts w:ascii="仿宋" w:hAnsi="仿宋" w:eastAsia="仿宋" w:cs="仿宋_GB2312"/>
          <w:color w:val="292929"/>
        </w:rPr>
      </w:pPr>
      <w:r>
        <w:rPr>
          <w:rFonts w:hint="eastAsia" w:ascii="仿宋" w:hAnsi="仿宋" w:eastAsia="仿宋" w:cs="仿宋_GB2312"/>
          <w:color w:val="292929"/>
        </w:rPr>
        <w:t xml:space="preserve"> </w:t>
      </w:r>
    </w:p>
    <w:p>
      <w:pPr>
        <w:snapToGrid w:val="0"/>
        <w:spacing w:line="520" w:lineRule="exact"/>
        <w:ind w:firstLine="5120" w:firstLineChars="1600"/>
        <w:jc w:val="left"/>
        <w:rPr>
          <w:rFonts w:ascii="仿宋_GB2312" w:hAnsi="仿宋_GB2312" w:eastAsia="仿宋_GB2312" w:cs="仿宋_GB2312"/>
        </w:rPr>
      </w:pPr>
      <w:r>
        <w:rPr>
          <w:rFonts w:hint="eastAsia" w:ascii="仿宋_GB2312" w:hAnsi="仿宋_GB2312" w:eastAsia="仿宋_GB2312" w:cs="仿宋_GB2312"/>
        </w:rPr>
        <w:t>绵竹市农业农村局</w:t>
      </w:r>
    </w:p>
    <w:p>
      <w:pPr>
        <w:snapToGrid w:val="0"/>
        <w:spacing w:line="520" w:lineRule="exact"/>
        <w:ind w:firstLine="5120" w:firstLineChars="1600"/>
        <w:jc w:val="left"/>
        <w:rPr>
          <w:rFonts w:ascii="仿宋_GB2312" w:hAnsi="仿宋_GB2312" w:eastAsia="仿宋_GB2312" w:cs="仿宋_GB2312"/>
        </w:rPr>
      </w:pPr>
      <w:r>
        <w:rPr>
          <w:rFonts w:hint="eastAsia" w:ascii="仿宋_GB2312" w:hAnsi="仿宋_GB2312" w:eastAsia="仿宋_GB2312" w:cs="仿宋_GB2312"/>
        </w:rPr>
        <w:t>2024年1月2日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5EF988-0FFD-4657-A0CC-F39D879788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9339D0A-783D-4204-994B-F875B84B15A9}"/>
  </w:font>
  <w:font w:name="??">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embedRegular r:id="rId3" w:fontKey="{BDD7E8DB-A7E1-40CC-BABA-67B51262E09E}"/>
  </w:font>
  <w:font w:name="方正小标宋简体">
    <w:panose1 w:val="02000000000000000000"/>
    <w:charset w:val="86"/>
    <w:family w:val="script"/>
    <w:pitch w:val="default"/>
    <w:sig w:usb0="00000001" w:usb1="08000000" w:usb2="00000000" w:usb3="00000000" w:csb0="00040000" w:csb1="00000000"/>
    <w:embedRegular r:id="rId4" w:fontKey="{15A7CA80-AA2C-42B4-8C5F-0CBE63F661AA}"/>
  </w:font>
  <w:font w:name="??_GB2312">
    <w:altName w:val="Times New Roman"/>
    <w:panose1 w:val="00000000000000000000"/>
    <w:charset w:val="00"/>
    <w:family w:val="auto"/>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embedRegular r:id="rId5" w:fontKey="{337798EC-1AA2-46E8-93EB-6835C1C70050}"/>
  </w:font>
  <w:font w:name="仿宋">
    <w:panose1 w:val="02010609060101010101"/>
    <w:charset w:val="86"/>
    <w:family w:val="modern"/>
    <w:pitch w:val="default"/>
    <w:sig w:usb0="800002BF" w:usb1="38CF7CFA" w:usb2="00000016" w:usb3="00000000" w:csb0="00040001" w:csb1="00000000"/>
    <w:embedRegular r:id="rId6" w:fontKey="{80C66A26-B3E1-43D7-B13B-2A617F1F0DA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sdtPr>
    <w:sdtContent>
      <w:p>
        <w:pPr>
          <w:pStyle w:val="4"/>
          <w:jc w:val="center"/>
        </w:pPr>
        <w:r>
          <w:fldChar w:fldCharType="begin"/>
        </w:r>
        <w:r>
          <w:instrText xml:space="preserve">PAGE   \* MERGEFORMAT</w:instrText>
        </w:r>
        <w:r>
          <w:fldChar w:fldCharType="separate"/>
        </w:r>
        <w:r>
          <w:rPr>
            <w:lang w:val="zh-CN"/>
          </w:rPr>
          <w:t>7</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C520DC"/>
    <w:rsid w:val="00152BA8"/>
    <w:rsid w:val="00437EB7"/>
    <w:rsid w:val="006A0FA4"/>
    <w:rsid w:val="006C726B"/>
    <w:rsid w:val="00705C3F"/>
    <w:rsid w:val="00886CBC"/>
    <w:rsid w:val="009F2A19"/>
    <w:rsid w:val="00A85C75"/>
    <w:rsid w:val="00B101A6"/>
    <w:rsid w:val="00C520DC"/>
    <w:rsid w:val="00CA6A29"/>
    <w:rsid w:val="00D97492"/>
    <w:rsid w:val="00E50CD7"/>
    <w:rsid w:val="08512A69"/>
    <w:rsid w:val="64944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章标题"/>
    <w:basedOn w:val="1"/>
    <w:next w:val="1"/>
    <w:autoRedefine/>
    <w:qFormat/>
    <w:uiPriority w:val="99"/>
    <w:pPr>
      <w:widowControl/>
      <w:spacing w:before="158" w:after="153" w:line="323" w:lineRule="atLeast"/>
      <w:ind w:right="-120"/>
      <w:jc w:val="center"/>
      <w:textAlignment w:val="baseline"/>
    </w:pPr>
    <w:rPr>
      <w:color w:val="FF0000"/>
      <w:sz w:val="18"/>
      <w:szCs w:val="18"/>
    </w:rPr>
  </w:style>
  <w:style w:type="paragraph" w:styleId="3">
    <w:name w:val="Balloon Text"/>
    <w:basedOn w:val="1"/>
    <w:link w:val="10"/>
    <w:autoRedefine/>
    <w:semiHidden/>
    <w:unhideWhenUsed/>
    <w:qFormat/>
    <w:uiPriority w:val="99"/>
    <w:rPr>
      <w:sz w:val="18"/>
      <w:szCs w:val="18"/>
    </w:rPr>
  </w:style>
  <w:style w:type="paragraph" w:styleId="4">
    <w:name w:val="footer"/>
    <w:basedOn w:val="1"/>
    <w:link w:val="7"/>
    <w:autoRedefine/>
    <w:qFormat/>
    <w:uiPriority w:val="99"/>
    <w:pPr>
      <w:tabs>
        <w:tab w:val="center" w:pos="4153"/>
        <w:tab w:val="right" w:pos="8306"/>
      </w:tabs>
      <w:snapToGrid w:val="0"/>
      <w:jc w:val="left"/>
    </w:pPr>
    <w:rPr>
      <w:rFonts w:ascii="Calibri" w:hAnsi="Calibri"/>
      <w:sz w:val="18"/>
      <w:szCs w:val="18"/>
    </w:rPr>
  </w:style>
  <w:style w:type="character" w:customStyle="1" w:styleId="7">
    <w:name w:val="页脚 Char"/>
    <w:basedOn w:val="6"/>
    <w:link w:val="4"/>
    <w:autoRedefine/>
    <w:qFormat/>
    <w:uiPriority w:val="99"/>
    <w:rPr>
      <w:rFonts w:ascii="Calibri" w:hAnsi="Calibri" w:eastAsia="宋体" w:cs="Times New Roman"/>
      <w:sz w:val="18"/>
      <w:szCs w:val="18"/>
    </w:rPr>
  </w:style>
  <w:style w:type="paragraph" w:customStyle="1" w:styleId="8">
    <w:name w:val="四号正文"/>
    <w:basedOn w:val="1"/>
    <w:link w:val="9"/>
    <w:autoRedefine/>
    <w:qFormat/>
    <w:uiPriority w:val="99"/>
    <w:pPr>
      <w:spacing w:line="360" w:lineRule="auto"/>
    </w:pPr>
    <w:rPr>
      <w:rFonts w:ascii="??" w:hAnsi="??"/>
      <w:color w:val="000000"/>
      <w:kern w:val="0"/>
      <w:sz w:val="21"/>
      <w:szCs w:val="20"/>
    </w:rPr>
  </w:style>
  <w:style w:type="character" w:customStyle="1" w:styleId="9">
    <w:name w:val="四号正文 Char"/>
    <w:link w:val="8"/>
    <w:autoRedefine/>
    <w:qFormat/>
    <w:locked/>
    <w:uiPriority w:val="99"/>
    <w:rPr>
      <w:rFonts w:ascii="??" w:hAnsi="??" w:eastAsia="宋体" w:cs="Times New Roman"/>
      <w:color w:val="000000"/>
      <w:kern w:val="0"/>
      <w:szCs w:val="20"/>
    </w:rPr>
  </w:style>
  <w:style w:type="character" w:customStyle="1" w:styleId="10">
    <w:name w:val="批注框文本 Char"/>
    <w:basedOn w:val="6"/>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569</Words>
  <Characters>3244</Characters>
  <Lines>27</Lines>
  <Paragraphs>7</Paragraphs>
  <TotalTime>46</TotalTime>
  <ScaleCrop>false</ScaleCrop>
  <LinksUpToDate>false</LinksUpToDate>
  <CharactersWithSpaces>3806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2024-01-09T09:24:00Z</dcterms:created>
  <dc:creator>Administrator</dc:creator>
  <cp:lastModifiedBy>幻</cp:lastModifiedBy>
  <dcterms:modified xsi:type="dcterms:W3CDTF">2024-01-25T09:03:49Z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83178CC80E2149FFA0BB9F90C68D80D5_12</vt:lpwstr>
  </property>
</Properties>
</file>