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580" w:lineRule="exact"/>
        <w:jc w:val="center"/>
        <w:rPr>
          <w:rFonts w:ascii="仿宋_GB2312" w:hAnsi="宋体" w:eastAsia="仿宋_GB2312"/>
          <w:color w:val="auto"/>
          <w:kern w:val="2"/>
          <w:sz w:val="32"/>
          <w:szCs w:val="32"/>
        </w:rPr>
      </w:pPr>
      <w:r>
        <w:rPr>
          <w:rFonts w:hint="eastAsia" w:ascii="方正小标宋简体" w:hAnsi="宋体" w:eastAsia="方正小标宋简体"/>
          <w:color w:val="auto"/>
          <w:sz w:val="44"/>
          <w:szCs w:val="44"/>
        </w:rPr>
        <w:t>项目支出绩效自评报告</w:t>
      </w:r>
    </w:p>
    <w:p>
      <w:pPr>
        <w:spacing w:line="580" w:lineRule="exact"/>
        <w:jc w:val="center"/>
        <w:rPr>
          <w:rFonts w:ascii="仿宋_GB2312" w:hAnsi="宋体"/>
          <w:color w:val="auto"/>
        </w:rPr>
      </w:pPr>
      <w:r>
        <w:rPr>
          <w:rFonts w:hint="eastAsia" w:ascii="仿宋_GB2312" w:hAnsi="宋体"/>
          <w:color w:val="auto"/>
        </w:rPr>
        <w:t>（绵竹市2022年化肥减量增效项目）</w:t>
      </w:r>
    </w:p>
    <w:p>
      <w:pPr>
        <w:pStyle w:val="10"/>
        <w:spacing w:line="580" w:lineRule="exact"/>
        <w:ind w:firstLine="640"/>
        <w:jc w:val="center"/>
        <w:rPr>
          <w:rFonts w:hint="eastAsia" w:ascii="宋体"/>
          <w:color w:val="auto"/>
          <w:kern w:val="2"/>
          <w:sz w:val="32"/>
          <w:szCs w:val="32"/>
        </w:rPr>
      </w:pPr>
    </w:p>
    <w:p>
      <w:pPr>
        <w:adjustRightInd w:val="0"/>
        <w:snapToGrid w:val="0"/>
        <w:spacing w:line="580" w:lineRule="exact"/>
        <w:ind w:firstLine="720"/>
        <w:rPr>
          <w:rFonts w:ascii="黑体" w:hAnsi="宋体" w:eastAsia="黑体"/>
          <w:color w:val="auto"/>
          <w:lang w:val="zh-CN"/>
        </w:rPr>
      </w:pPr>
      <w:r>
        <w:rPr>
          <w:rFonts w:hint="eastAsia" w:ascii="黑体" w:hAnsi="宋体" w:eastAsia="黑体"/>
          <w:color w:val="auto"/>
        </w:rPr>
        <w:t>一、</w:t>
      </w:r>
      <w:r>
        <w:rPr>
          <w:rFonts w:hint="eastAsia" w:ascii="黑体" w:hAnsi="宋体" w:eastAsia="黑体"/>
          <w:color w:val="auto"/>
          <w:lang w:val="zh-CN"/>
        </w:rPr>
        <w:t>项目概况</w:t>
      </w:r>
    </w:p>
    <w:p>
      <w:pPr>
        <w:adjustRightInd w:val="0"/>
        <w:snapToGrid w:val="0"/>
        <w:spacing w:line="580" w:lineRule="exact"/>
        <w:ind w:firstLine="720"/>
        <w:rPr>
          <w:rFonts w:ascii="仿宋_GB2312" w:hAnsi="宋体"/>
          <w:color w:val="auto"/>
          <w:lang w:val="zh-CN"/>
        </w:rPr>
      </w:pPr>
      <w:r>
        <w:rPr>
          <w:rFonts w:hint="eastAsia" w:ascii="楷体_GB2312" w:hAnsi="宋体" w:eastAsia="楷体_GB2312"/>
          <w:b/>
          <w:color w:val="auto"/>
          <w:lang w:val="zh-CN"/>
        </w:rPr>
        <w:t>（一）项目基本情况。</w:t>
      </w:r>
    </w:p>
    <w:p>
      <w:pPr>
        <w:adjustRightInd w:val="0"/>
        <w:snapToGrid w:val="0"/>
        <w:spacing w:line="580" w:lineRule="exact"/>
        <w:ind w:firstLine="720"/>
        <w:rPr>
          <w:rFonts w:ascii="仿宋_GB2312" w:hAnsi="宋体"/>
          <w:color w:val="auto"/>
          <w:lang w:val="zh-CN"/>
        </w:rPr>
      </w:pPr>
      <w:r>
        <w:rPr>
          <w:rFonts w:hint="eastAsia" w:ascii="仿宋_GB2312" w:hAnsi="宋体"/>
          <w:color w:val="auto"/>
          <w:lang w:val="zh-CN"/>
        </w:rPr>
        <w:t>绵竹市农业农村局在该项目管理中的职能是编制《</w:t>
      </w:r>
      <w:r>
        <w:rPr>
          <w:rFonts w:hint="eastAsia" w:ascii="仿宋_GB2312" w:hAnsi="宋体"/>
          <w:color w:val="auto"/>
        </w:rPr>
        <w:t>绵竹市2022年化肥减量增效项目</w:t>
      </w:r>
      <w:r>
        <w:rPr>
          <w:rFonts w:hint="eastAsia" w:ascii="仿宋_GB2312" w:hAnsi="宋体"/>
          <w:color w:val="auto"/>
          <w:lang w:val="zh-CN"/>
        </w:rPr>
        <w:t>》实施方案，组织项目实施，拨付项目资金和财务管理。项目立项、资金申报的依据为四川省农业农村厅《关于印发2022年四川省化肥减量增效示范项目实施方案的通知》(川农函[2022] 387号)。资金管理办法制定情况包括：一是基础性工作补助2万元；二是物化投入补助12万元；三是技术服务补助10万元。资金分配的原则依据四川省农业农村厅《关于印发2022年四川省化肥减量增效示范项目实施方案的通知》(川农函[2022] 387号)。</w:t>
      </w:r>
    </w:p>
    <w:p>
      <w:pPr>
        <w:adjustRightInd w:val="0"/>
        <w:snapToGrid w:val="0"/>
        <w:spacing w:line="580" w:lineRule="exact"/>
        <w:ind w:firstLine="720"/>
        <w:rPr>
          <w:rFonts w:ascii="楷体_GB2312" w:hAnsi="宋体" w:eastAsia="楷体_GB2312"/>
          <w:b/>
          <w:color w:val="auto"/>
          <w:lang w:val="zh-CN"/>
        </w:rPr>
      </w:pPr>
      <w:r>
        <w:rPr>
          <w:rFonts w:hint="eastAsia" w:ascii="楷体_GB2312" w:hAnsi="宋体" w:eastAsia="楷体_GB2312"/>
          <w:b/>
          <w:color w:val="auto"/>
          <w:lang w:val="zh-CN"/>
        </w:rPr>
        <w:t>（二）项目绩效目标。</w:t>
      </w:r>
    </w:p>
    <w:p>
      <w:pPr>
        <w:adjustRightInd w:val="0"/>
        <w:snapToGrid w:val="0"/>
        <w:spacing w:line="580" w:lineRule="exact"/>
        <w:ind w:firstLine="720"/>
        <w:rPr>
          <w:rFonts w:ascii="仿宋_GB2312" w:hAnsi="宋体"/>
          <w:color w:val="auto"/>
          <w:lang w:val="zh-CN"/>
        </w:rPr>
      </w:pPr>
      <w:r>
        <w:rPr>
          <w:rFonts w:ascii="仿宋_GB2312" w:hAnsi="宋体"/>
          <w:color w:val="auto"/>
          <w:lang w:val="zh-CN"/>
        </w:rPr>
        <w:t>1</w:t>
      </w:r>
      <w:r>
        <w:rPr>
          <w:rFonts w:hint="eastAsia" w:ascii="仿宋_GB2312" w:hAnsi="宋体"/>
          <w:color w:val="auto"/>
          <w:lang w:val="zh-CN"/>
        </w:rPr>
        <w:t>．项目主要内容。开展化肥利用率等田间试验4个,完成农户施肥调查100户,推广测土配方施肥技术73万亩次,农户对化肥减量增效实施满意度≥90%。</w:t>
      </w:r>
    </w:p>
    <w:p>
      <w:pPr>
        <w:adjustRightInd w:val="0"/>
        <w:snapToGrid w:val="0"/>
        <w:spacing w:line="580" w:lineRule="exact"/>
        <w:ind w:firstLine="720"/>
        <w:rPr>
          <w:rFonts w:ascii="仿宋_GB2312" w:hAnsi="宋体"/>
          <w:color w:val="auto"/>
          <w:lang w:val="zh-CN"/>
        </w:rPr>
      </w:pPr>
      <w:r>
        <w:rPr>
          <w:rFonts w:ascii="仿宋_GB2312" w:hAnsi="宋体"/>
          <w:color w:val="auto"/>
          <w:lang w:val="zh-CN"/>
        </w:rPr>
        <w:t>2</w:t>
      </w:r>
      <w:r>
        <w:rPr>
          <w:rFonts w:hint="eastAsia" w:ascii="仿宋_GB2312" w:hAnsi="宋体"/>
          <w:color w:val="auto"/>
          <w:lang w:val="zh-CN"/>
        </w:rPr>
        <w:t>．项目应实现的具体绩效目标，包括目标的量化、细化情况以及项目实施进度计划等。</w:t>
      </w:r>
    </w:p>
    <w:p>
      <w:pPr>
        <w:adjustRightInd w:val="0"/>
        <w:snapToGrid w:val="0"/>
        <w:spacing w:line="580" w:lineRule="exact"/>
        <w:ind w:firstLine="720"/>
        <w:rPr>
          <w:rFonts w:ascii="仿宋_GB2312" w:hAnsi="宋体"/>
          <w:color w:val="auto"/>
          <w:lang w:val="zh-CN"/>
        </w:rPr>
      </w:pPr>
      <w:r>
        <w:rPr>
          <w:rFonts w:hint="eastAsia" w:ascii="仿宋_GB2312" w:hAnsi="宋体"/>
          <w:color w:val="auto"/>
          <w:lang w:val="zh-CN"/>
        </w:rPr>
        <w:t>（1）摸清耕地养分。分析整理历年测土配方施肥土壤养分数据,结合耕地质量监测、污染源普查等土壤养分数据,应用大数据、人工智能等手段研判耕地养分现状和变化趋势,为制定区城肥料配方提供支撑。</w:t>
      </w:r>
    </w:p>
    <w:p>
      <w:pPr>
        <w:adjustRightInd w:val="0"/>
        <w:snapToGrid w:val="0"/>
        <w:spacing w:line="580" w:lineRule="exact"/>
        <w:ind w:firstLine="720"/>
        <w:rPr>
          <w:rFonts w:ascii="仿宋_GB2312" w:hAnsi="宋体"/>
          <w:color w:val="auto"/>
          <w:lang w:val="zh-CN"/>
        </w:rPr>
      </w:pPr>
      <w:r>
        <w:rPr>
          <w:rFonts w:hint="eastAsia" w:ascii="仿宋_GB2312" w:hAnsi="宋体"/>
          <w:color w:val="auto"/>
          <w:lang w:val="zh-CN"/>
        </w:rPr>
        <w:t>（2）开展田间试验。开展水稻化肥利用率试验4个,为优化肥料配方、科学评估化肥减量增效情况提供基础支撑。</w:t>
      </w:r>
    </w:p>
    <w:p>
      <w:pPr>
        <w:adjustRightInd w:val="0"/>
        <w:snapToGrid w:val="0"/>
        <w:spacing w:line="580" w:lineRule="exact"/>
        <w:ind w:firstLine="720"/>
        <w:rPr>
          <w:rFonts w:ascii="仿宋_GB2312" w:hAnsi="宋体"/>
          <w:color w:val="auto"/>
          <w:lang w:val="zh-CN"/>
        </w:rPr>
      </w:pPr>
      <w:r>
        <w:rPr>
          <w:rFonts w:hint="eastAsia" w:ascii="仿宋_GB2312" w:hAnsi="宋体"/>
          <w:color w:val="auto"/>
          <w:lang w:val="zh-CN"/>
        </w:rPr>
        <w:t>（3）开展农户施肥监测调查。一是开展100个农户施肥定点监测。按照四川省2022年化肥减量化工作推进方案》要求,选取有代表性的普通种植户、种植大户、家庭农场、专业合作社为些测对象(普通种植户占监测农户总数的比例不低于20%),开展主要农作物施肥情况监测,建立施肥台账；安排专人负责完善上报建点信息,汇总施肥台账,批量录入上报农户施肥情况。二是区域施肥情况面上调查。参考农户施肥定点监测数据,结合区域农作物种植情况和科学施肥工作情况,测算本区域主要农作物各肥料品种施用量。农户施肥定点监测数据和区域施肥情况面上调查数据均通过全国农户施肥信息监测系统(网络地址:htp:/feiliao.nxagricloud.com/)填报数据和审核上报。</w:t>
      </w:r>
    </w:p>
    <w:p>
      <w:pPr>
        <w:adjustRightInd w:val="0"/>
        <w:snapToGrid w:val="0"/>
        <w:spacing w:line="580" w:lineRule="exact"/>
        <w:ind w:firstLine="720"/>
        <w:rPr>
          <w:rFonts w:ascii="仿宋_GB2312" w:hAnsi="宋体"/>
          <w:color w:val="auto"/>
          <w:lang w:val="zh-CN"/>
        </w:rPr>
      </w:pPr>
      <w:r>
        <w:rPr>
          <w:rFonts w:hint="eastAsia" w:ascii="仿宋_GB2312" w:hAnsi="宋体"/>
          <w:color w:val="auto"/>
          <w:lang w:val="zh-CN"/>
        </w:rPr>
        <w:t>（4）制定并发布肥料配方。综合作物养分需求、土壤养分供应和肥料效应参数,优先考虑磷、钾配比,统筹基肥追肥比例,参考氮肥定额用量,制定不同作物肥料配方。中微量元素根据作物和土壤养分丰缺情况施用。向社会发市肥料配方,制定发布科学施肥指导意见或施肥配方建议卡,提高农民和新型农业经营主体科学施肥水平。印制施肥建议卡或手册10万份以上，在县域镇街道全覆盖发放。</w:t>
      </w:r>
    </w:p>
    <w:p>
      <w:pPr>
        <w:adjustRightInd w:val="0"/>
        <w:snapToGrid w:val="0"/>
        <w:spacing w:line="580" w:lineRule="exact"/>
        <w:ind w:firstLine="720"/>
        <w:rPr>
          <w:rFonts w:ascii="仿宋_GB2312" w:hAnsi="宋体"/>
          <w:color w:val="auto"/>
          <w:lang w:val="zh-CN"/>
        </w:rPr>
      </w:pPr>
      <w:r>
        <w:rPr>
          <w:rFonts w:hint="eastAsia" w:ascii="仿宋_GB2312" w:hAnsi="宋体"/>
          <w:color w:val="auto"/>
          <w:lang w:val="zh-CN"/>
        </w:rPr>
        <w:t>（5）指导科学施肥。完分发挥“绵竹市化肥农药减量化工作技术专家组”技术支撑作用,在关键农时季节,组织专家和农技人员,深入田间地头指导落实科学施肥各项技术措施。加快推进智能化推荐施肥方法应用,通过智能化推荐施肥专家系统(附件2)等方式指导科学施肥,为农民提供简便、快捷、有效、实用的技术服务,努力解决推荐施肥最后一公里技术难题。</w:t>
      </w:r>
    </w:p>
    <w:p>
      <w:pPr>
        <w:adjustRightInd w:val="0"/>
        <w:snapToGrid w:val="0"/>
        <w:spacing w:line="580" w:lineRule="exact"/>
        <w:ind w:firstLine="720"/>
        <w:rPr>
          <w:rFonts w:ascii="仿宋_GB2312" w:hAnsi="宋体"/>
          <w:color w:val="auto"/>
          <w:lang w:val="zh-CN"/>
        </w:rPr>
      </w:pPr>
      <w:r>
        <w:rPr>
          <w:rFonts w:hint="eastAsia" w:ascii="仿宋_GB2312" w:hAnsi="宋体"/>
          <w:color w:val="auto"/>
          <w:lang w:val="zh-CN"/>
        </w:rPr>
        <w:t>（6）建立化肥减量增效示范点。（1）申报条件及实施主体确定。配合乡村振兴先进县资金使用方案，在剑南粮油园区核心区建立1000-1500亩化肥减量增效示范区。在绵远河现代粮油农业园区核心区公开选择种植粮食作物的农业专业合作社、家庭农场、种植大户作为示范点的实施主体。农业农村局将化肥减量示范点建设项目在《今日绵竹》（或涉及镇街道人民政府公示栏）进行公告（时间不少于5天），业主在规定时间内提出书面申请，经农业农村局组织专家组进行评审，择优选择实施主体并公示（时间不少于5天）。（2）示范农作物及面积。示范点以粮食作物为主，单个业主连片种植粮食作物面积50亩以上。（3）示范点建设内容：实施主体建立规范施肥台账，化肥减量措施为施用商品有机肥替代部分化肥。（4）实施主体根据市农业农村局统一安排开展田间肥效对比试验1个，并在示范点醒目位置设置标识牌。</w:t>
      </w:r>
    </w:p>
    <w:p>
      <w:pPr>
        <w:adjustRightInd w:val="0"/>
        <w:snapToGrid w:val="0"/>
        <w:spacing w:line="580" w:lineRule="exact"/>
        <w:ind w:firstLine="720"/>
        <w:rPr>
          <w:rFonts w:ascii="仿宋_GB2312" w:hAnsi="宋体"/>
          <w:color w:val="auto"/>
          <w:lang w:val="zh-CN"/>
        </w:rPr>
      </w:pPr>
      <w:r>
        <w:rPr>
          <w:rFonts w:ascii="仿宋_GB2312" w:hAnsi="宋体"/>
          <w:color w:val="auto"/>
          <w:lang w:val="zh-CN"/>
        </w:rPr>
        <w:t>3</w:t>
      </w:r>
      <w:r>
        <w:rPr>
          <w:rFonts w:hint="eastAsia" w:ascii="仿宋_GB2312" w:hAnsi="宋体"/>
          <w:color w:val="auto"/>
          <w:lang w:val="zh-CN"/>
        </w:rPr>
        <w:t>．分析评价申报内容是否与实际相符，申报目标是否合理可行。</w:t>
      </w:r>
    </w:p>
    <w:p>
      <w:pPr>
        <w:adjustRightInd w:val="0"/>
        <w:snapToGrid w:val="0"/>
        <w:spacing w:line="580" w:lineRule="exact"/>
        <w:ind w:firstLine="720"/>
        <w:rPr>
          <w:rFonts w:ascii="仿宋_GB2312" w:hAnsi="宋体"/>
          <w:color w:val="auto"/>
          <w:lang w:val="zh-CN"/>
        </w:rPr>
      </w:pPr>
      <w:r>
        <w:rPr>
          <w:rFonts w:hint="eastAsia" w:ascii="仿宋_GB2312" w:hAnsi="宋体"/>
          <w:color w:val="auto"/>
          <w:lang w:val="zh-CN"/>
        </w:rPr>
        <w:t>《</w:t>
      </w:r>
      <w:r>
        <w:rPr>
          <w:rFonts w:hint="eastAsia" w:ascii="仿宋_GB2312" w:hAnsi="宋体"/>
          <w:color w:val="auto"/>
        </w:rPr>
        <w:t>绵竹市2022年化肥减量增效项目</w:t>
      </w:r>
      <w:r>
        <w:rPr>
          <w:rFonts w:hint="eastAsia" w:ascii="仿宋_GB2312" w:hAnsi="宋体"/>
          <w:color w:val="auto"/>
          <w:lang w:val="zh-CN"/>
        </w:rPr>
        <w:t>》申报内容与实际相符，申报目标合理可行。</w:t>
      </w:r>
    </w:p>
    <w:p>
      <w:pPr>
        <w:adjustRightInd w:val="0"/>
        <w:snapToGrid w:val="0"/>
        <w:spacing w:line="580" w:lineRule="exact"/>
        <w:ind w:firstLine="720"/>
        <w:rPr>
          <w:rFonts w:ascii="楷体_GB2312" w:hAnsi="宋体" w:eastAsia="楷体_GB2312"/>
          <w:b/>
          <w:color w:val="auto"/>
          <w:lang w:val="zh-CN"/>
        </w:rPr>
      </w:pPr>
      <w:r>
        <w:rPr>
          <w:rFonts w:hint="eastAsia" w:ascii="楷体_GB2312" w:hAnsi="宋体" w:eastAsia="楷体_GB2312"/>
          <w:b/>
          <w:color w:val="auto"/>
          <w:lang w:val="zh-CN"/>
        </w:rPr>
        <w:t>（三）项目自评步骤及方法。</w:t>
      </w:r>
    </w:p>
    <w:p>
      <w:pPr>
        <w:adjustRightInd w:val="0"/>
        <w:snapToGrid w:val="0"/>
        <w:spacing w:line="580" w:lineRule="exact"/>
        <w:ind w:firstLine="720"/>
        <w:rPr>
          <w:rFonts w:ascii="仿宋_GB2312" w:hAnsi="宋体"/>
          <w:color w:val="auto"/>
          <w:lang w:val="zh-CN"/>
        </w:rPr>
      </w:pPr>
      <w:r>
        <w:rPr>
          <w:rFonts w:hint="eastAsia" w:ascii="仿宋_GB2312" w:hAnsi="宋体"/>
          <w:color w:val="auto"/>
          <w:lang w:val="zh-CN"/>
        </w:rPr>
        <w:t>项目绩效自评按照四川省农业农村厅《关于印发2022年四川省化肥减量增效示范项目实施方案的通知》(川农函[2022] 387号)</w:t>
      </w:r>
      <w:r>
        <w:rPr>
          <w:rFonts w:hint="eastAsia" w:ascii="仿宋_GB2312" w:hAnsi="宋体"/>
          <w:color w:val="auto"/>
        </w:rPr>
        <w:t>文件要求，以及与第三方服务合同内容完成情况开展自评。</w:t>
      </w:r>
    </w:p>
    <w:p>
      <w:pPr>
        <w:adjustRightInd w:val="0"/>
        <w:snapToGrid w:val="0"/>
        <w:spacing w:line="580" w:lineRule="exact"/>
        <w:ind w:firstLine="720"/>
        <w:rPr>
          <w:rFonts w:ascii="黑体" w:hAnsi="宋体" w:eastAsia="黑体"/>
          <w:color w:val="auto"/>
        </w:rPr>
      </w:pPr>
      <w:r>
        <w:rPr>
          <w:rFonts w:hint="eastAsia" w:ascii="黑体" w:hAnsi="宋体" w:eastAsia="黑体"/>
          <w:color w:val="auto"/>
        </w:rPr>
        <w:t>二、项目资金申报及使用情况</w:t>
      </w:r>
    </w:p>
    <w:p>
      <w:pPr>
        <w:adjustRightInd w:val="0"/>
        <w:snapToGrid w:val="0"/>
        <w:spacing w:line="580" w:lineRule="exact"/>
        <w:ind w:firstLine="720"/>
        <w:rPr>
          <w:rFonts w:ascii="楷体_GB2312" w:hAnsi="宋体" w:eastAsia="楷体_GB2312"/>
          <w:b/>
          <w:color w:val="auto"/>
          <w:lang w:val="zh-CN"/>
        </w:rPr>
      </w:pPr>
      <w:r>
        <w:rPr>
          <w:rFonts w:hint="eastAsia" w:ascii="楷体_GB2312" w:hAnsi="宋体" w:eastAsia="楷体_GB2312"/>
          <w:b/>
          <w:color w:val="auto"/>
          <w:lang w:val="zh-CN"/>
        </w:rPr>
        <w:t>（一）项目资金申报及批复情况。</w:t>
      </w:r>
    </w:p>
    <w:p>
      <w:pPr>
        <w:adjustRightInd w:val="0"/>
        <w:snapToGrid w:val="0"/>
        <w:spacing w:line="580" w:lineRule="exact"/>
        <w:ind w:firstLine="720"/>
        <w:rPr>
          <w:rFonts w:ascii="仿宋_GB2312" w:hAnsi="宋体"/>
          <w:color w:val="auto"/>
          <w:lang w:val="zh-CN"/>
        </w:rPr>
      </w:pPr>
      <w:r>
        <w:rPr>
          <w:rFonts w:hint="eastAsia" w:ascii="仿宋_GB2312" w:hAnsi="宋体"/>
          <w:color w:val="auto"/>
          <w:lang w:val="zh-CN"/>
        </w:rPr>
        <w:t>项目资金属于上级下达，市农业农村局按程序向市财政申报采购计划。</w:t>
      </w:r>
    </w:p>
    <w:p>
      <w:pPr>
        <w:adjustRightInd w:val="0"/>
        <w:snapToGrid w:val="0"/>
        <w:spacing w:line="580" w:lineRule="exact"/>
        <w:ind w:firstLine="720"/>
        <w:rPr>
          <w:rFonts w:ascii="仿宋_GB2312" w:hAnsi="宋体"/>
          <w:color w:val="auto"/>
          <w:lang w:val="zh-CN"/>
        </w:rPr>
      </w:pPr>
      <w:r>
        <w:rPr>
          <w:rFonts w:hint="eastAsia" w:ascii="楷体_GB2312" w:hAnsi="宋体" w:eastAsia="楷体_GB2312"/>
          <w:b/>
          <w:color w:val="auto"/>
          <w:lang w:val="zh-CN"/>
        </w:rPr>
        <w:t>（二）资金计划、到位及使用情况（可用表格形式反映）。</w:t>
      </w:r>
    </w:p>
    <w:p>
      <w:pPr>
        <w:adjustRightInd w:val="0"/>
        <w:snapToGrid w:val="0"/>
        <w:spacing w:line="580" w:lineRule="exact"/>
        <w:ind w:firstLine="720"/>
        <w:rPr>
          <w:rFonts w:ascii="仿宋_GB2312" w:hAnsi="宋体"/>
          <w:color w:val="auto"/>
          <w:lang w:val="zh-CN"/>
        </w:rPr>
      </w:pPr>
      <w:r>
        <w:rPr>
          <w:rFonts w:ascii="楷体_GB2312" w:hAnsi="宋体" w:eastAsia="楷体_GB2312"/>
          <w:color w:val="auto"/>
          <w:lang w:val="zh-CN"/>
        </w:rPr>
        <w:t>1</w:t>
      </w:r>
      <w:r>
        <w:rPr>
          <w:rFonts w:hint="eastAsia" w:ascii="楷体_GB2312" w:hAnsi="宋体" w:eastAsia="楷体_GB2312"/>
          <w:color w:val="auto"/>
          <w:lang w:val="zh-CN"/>
        </w:rPr>
        <w:t>．资金计划。</w:t>
      </w:r>
      <w:r>
        <w:rPr>
          <w:rFonts w:hint="eastAsia" w:ascii="仿宋_GB2312" w:hAnsi="宋体"/>
          <w:color w:val="auto"/>
          <w:lang w:val="zh-CN"/>
        </w:rPr>
        <w:t>四川省农业农村厅下达绵竹市2022年化肥减量增效项目资金24万元（全部为财政资金），主要用于以下三个方面:</w:t>
      </w:r>
    </w:p>
    <w:p>
      <w:pPr>
        <w:adjustRightInd w:val="0"/>
        <w:snapToGrid w:val="0"/>
        <w:spacing w:line="580" w:lineRule="exact"/>
        <w:ind w:firstLine="720"/>
        <w:rPr>
          <w:rFonts w:ascii="仿宋_GB2312" w:hAnsi="宋体"/>
          <w:color w:val="auto"/>
          <w:lang w:val="zh-CN"/>
        </w:rPr>
      </w:pPr>
      <w:r>
        <w:rPr>
          <w:rFonts w:hint="eastAsia" w:ascii="仿宋_GB2312" w:hAnsi="宋体"/>
          <w:color w:val="auto"/>
          <w:lang w:val="zh-CN"/>
        </w:rPr>
        <w:t>一是基础性工作补助2万元。用于修正完善肥料配方、配方发布、测土配方施肥系统完善更新等方面补助1.8万元（委托科研单位实施）、配方发布0.2万元（按实际价格支付）。</w:t>
      </w:r>
    </w:p>
    <w:p>
      <w:pPr>
        <w:adjustRightInd w:val="0"/>
        <w:snapToGrid w:val="0"/>
        <w:spacing w:line="580" w:lineRule="exact"/>
        <w:ind w:firstLine="720"/>
        <w:rPr>
          <w:rFonts w:ascii="仿宋_GB2312" w:hAnsi="宋体"/>
          <w:color w:val="auto"/>
          <w:lang w:val="zh-CN"/>
        </w:rPr>
      </w:pPr>
      <w:r>
        <w:rPr>
          <w:rFonts w:hint="eastAsia" w:ascii="仿宋_GB2312" w:hAnsi="宋体"/>
          <w:color w:val="auto"/>
          <w:lang w:val="zh-CN"/>
        </w:rPr>
        <w:t>二是物化投入补助12万元。由实施主体自行采购绵竹市内有机肥生产企业生产的商品有机肥，补贴的商品有机肥是指按照NY/T525-2021标准生产的商品有机肥,且必须取得农业农村主管部门的肥料登记证。实行差额补贴,补贴比例不超过商品有机肥料采购价格的50%（低于600元/吨，按实际采购价格的50%补助；高于600元/吨，按300元/吨补助），单个主体补助金额不超过2万元。实施主体凭采购正规发票、施肥台账、县级验收报告等进行补贴，补贴资金兑付给实施主体。</w:t>
      </w:r>
    </w:p>
    <w:p>
      <w:pPr>
        <w:adjustRightInd w:val="0"/>
        <w:snapToGrid w:val="0"/>
        <w:spacing w:line="580" w:lineRule="exact"/>
        <w:ind w:firstLine="720"/>
        <w:rPr>
          <w:rFonts w:ascii="仿宋_GB2312" w:hAnsi="宋体"/>
          <w:color w:val="auto"/>
          <w:lang w:val="zh-CN"/>
        </w:rPr>
      </w:pPr>
      <w:r>
        <w:rPr>
          <w:rFonts w:hint="eastAsia" w:ascii="仿宋_GB2312" w:hAnsi="宋体"/>
          <w:color w:val="auto"/>
          <w:lang w:val="zh-CN"/>
        </w:rPr>
        <w:t>三是技术服务补助10万元。对市、镇（街道）的肥料技术推广人员开展技术培训补助5万元（委托科研单位培训），技术资料印制开支5万元。</w:t>
      </w:r>
    </w:p>
    <w:p>
      <w:pPr>
        <w:adjustRightInd w:val="0"/>
        <w:snapToGrid w:val="0"/>
        <w:spacing w:line="580" w:lineRule="exact"/>
        <w:ind w:firstLine="720"/>
        <w:rPr>
          <w:rFonts w:ascii="仿宋_GB2312" w:hAnsi="宋体"/>
          <w:color w:val="auto"/>
          <w:lang w:val="zh-CN"/>
        </w:rPr>
      </w:pPr>
      <w:r>
        <w:rPr>
          <w:rFonts w:ascii="楷体_GB2312" w:hAnsi="宋体" w:eastAsia="楷体_GB2312"/>
          <w:color w:val="auto"/>
          <w:lang w:val="zh-CN"/>
        </w:rPr>
        <w:t>2</w:t>
      </w:r>
      <w:r>
        <w:rPr>
          <w:rFonts w:hint="eastAsia" w:ascii="楷体_GB2312" w:hAnsi="宋体" w:eastAsia="楷体_GB2312"/>
          <w:color w:val="auto"/>
          <w:lang w:val="zh-CN"/>
        </w:rPr>
        <w:t>．资金到位。</w:t>
      </w:r>
      <w:r>
        <w:rPr>
          <w:rFonts w:hint="eastAsia" w:ascii="仿宋_GB2312" w:hAnsi="宋体"/>
          <w:color w:val="auto"/>
          <w:lang w:val="zh-CN"/>
        </w:rPr>
        <w:t>项目资金到位</w:t>
      </w:r>
      <w:r>
        <w:rPr>
          <w:rFonts w:hint="eastAsia" w:ascii="仿宋_GB2312" w:hAnsi="宋体"/>
          <w:color w:val="auto"/>
        </w:rPr>
        <w:t>24万元</w:t>
      </w:r>
      <w:r>
        <w:rPr>
          <w:rFonts w:hint="eastAsia" w:ascii="仿宋_GB2312" w:hAnsi="宋体"/>
          <w:color w:val="auto"/>
          <w:lang w:val="zh-CN"/>
        </w:rPr>
        <w:t>。</w:t>
      </w:r>
    </w:p>
    <w:p>
      <w:pPr>
        <w:adjustRightInd w:val="0"/>
        <w:snapToGrid w:val="0"/>
        <w:spacing w:line="580" w:lineRule="exact"/>
        <w:ind w:firstLine="720"/>
        <w:rPr>
          <w:rFonts w:ascii="仿宋_GB2312" w:hAnsi="宋体"/>
          <w:color w:val="auto"/>
          <w:lang w:val="zh-CN"/>
        </w:rPr>
      </w:pPr>
      <w:r>
        <w:rPr>
          <w:rFonts w:ascii="楷体_GB2312" w:hAnsi="宋体" w:eastAsia="楷体_GB2312"/>
          <w:color w:val="auto"/>
          <w:lang w:val="zh-CN"/>
        </w:rPr>
        <w:t>3</w:t>
      </w:r>
      <w:r>
        <w:rPr>
          <w:rFonts w:hint="eastAsia" w:ascii="楷体_GB2312" w:hAnsi="宋体" w:eastAsia="楷体_GB2312"/>
          <w:color w:val="auto"/>
          <w:lang w:val="zh-CN"/>
        </w:rPr>
        <w:t>．资金使用。</w:t>
      </w:r>
      <w:bookmarkStart w:id="0" w:name="_GoBack"/>
      <w:bookmarkEnd w:id="0"/>
      <w:r>
        <w:rPr>
          <w:rFonts w:hint="eastAsia" w:ascii="仿宋_GB2312" w:hAnsi="宋体"/>
          <w:color w:val="auto"/>
          <w:lang w:val="zh-CN"/>
        </w:rPr>
        <w:t>截至评价时点该项目资金支出资金</w:t>
      </w:r>
      <w:r>
        <w:rPr>
          <w:rFonts w:ascii="仿宋_GB2312" w:hAnsi="宋体"/>
          <w:color w:val="auto"/>
        </w:rPr>
        <w:t>22</w:t>
      </w:r>
      <w:r>
        <w:rPr>
          <w:rFonts w:hint="eastAsia" w:ascii="仿宋_GB2312" w:hAnsi="宋体"/>
          <w:color w:val="auto"/>
        </w:rPr>
        <w:t>万元</w:t>
      </w:r>
      <w:r>
        <w:rPr>
          <w:rFonts w:hint="eastAsia" w:ascii="仿宋_GB2312" w:hAnsi="宋体"/>
          <w:color w:val="auto"/>
          <w:lang w:val="zh-CN"/>
        </w:rPr>
        <w:t>情况。资金支付范围、支付标准、支付进度、支付依据等合规合法、与预算相符。</w:t>
      </w:r>
    </w:p>
    <w:p>
      <w:pPr>
        <w:adjustRightInd w:val="0"/>
        <w:snapToGrid w:val="0"/>
        <w:spacing w:line="580" w:lineRule="exact"/>
        <w:ind w:firstLine="720"/>
        <w:rPr>
          <w:rFonts w:ascii="楷体_GB2312" w:hAnsi="宋体" w:eastAsia="楷体_GB2312"/>
          <w:b/>
          <w:color w:val="auto"/>
          <w:lang w:val="zh-CN"/>
        </w:rPr>
      </w:pPr>
      <w:r>
        <w:rPr>
          <w:rFonts w:hint="eastAsia" w:ascii="楷体_GB2312" w:hAnsi="宋体" w:eastAsia="楷体_GB2312"/>
          <w:b/>
          <w:color w:val="auto"/>
          <w:lang w:val="zh-CN"/>
        </w:rPr>
        <w:t>（三）项目财务管理情况。</w:t>
      </w:r>
    </w:p>
    <w:p>
      <w:pPr>
        <w:adjustRightInd w:val="0"/>
        <w:snapToGrid w:val="0"/>
        <w:spacing w:line="580" w:lineRule="exact"/>
        <w:ind w:firstLine="720"/>
        <w:rPr>
          <w:rFonts w:ascii="仿宋_GB2312" w:hAnsi="宋体"/>
          <w:color w:val="auto"/>
          <w:lang w:val="zh-CN"/>
        </w:rPr>
      </w:pPr>
      <w:r>
        <w:rPr>
          <w:rFonts w:hint="eastAsia" w:ascii="仿宋_GB2312" w:hAnsi="宋体"/>
          <w:color w:val="auto"/>
          <w:lang w:val="zh-CN"/>
        </w:rPr>
        <w:t>实施单位财务管理制度健全，严格执行财务管理制度，账务处理及时，会计核算规范。</w:t>
      </w:r>
    </w:p>
    <w:p>
      <w:pPr>
        <w:adjustRightInd w:val="0"/>
        <w:snapToGrid w:val="0"/>
        <w:spacing w:line="580" w:lineRule="exact"/>
        <w:ind w:firstLine="720"/>
        <w:rPr>
          <w:rFonts w:ascii="黑体" w:hAnsi="宋体" w:eastAsia="黑体"/>
          <w:color w:val="auto"/>
        </w:rPr>
      </w:pPr>
      <w:r>
        <w:rPr>
          <w:rFonts w:hint="eastAsia" w:ascii="黑体" w:hAnsi="宋体" w:eastAsia="黑体"/>
          <w:color w:val="auto"/>
        </w:rPr>
        <w:t>三、项目实施及管理情况</w:t>
      </w:r>
    </w:p>
    <w:p>
      <w:pPr>
        <w:adjustRightInd w:val="0"/>
        <w:snapToGrid w:val="0"/>
        <w:spacing w:line="580" w:lineRule="exact"/>
        <w:ind w:firstLine="720"/>
        <w:rPr>
          <w:rFonts w:ascii="仿宋_GB2312" w:hAnsi="宋体"/>
          <w:color w:val="auto"/>
          <w:lang w:val="zh-CN"/>
        </w:rPr>
      </w:pPr>
      <w:r>
        <w:rPr>
          <w:rFonts w:hint="eastAsia" w:ascii="楷体_GB2312" w:hAnsi="宋体" w:eastAsia="楷体_GB2312"/>
          <w:b/>
          <w:color w:val="auto"/>
          <w:lang w:val="zh-CN"/>
        </w:rPr>
        <w:t>（一）项目组织架构及实施流程。</w:t>
      </w:r>
      <w:r>
        <w:rPr>
          <w:rFonts w:hint="eastAsia" w:ascii="仿宋_GB2312" w:hAnsi="宋体"/>
          <w:color w:val="auto"/>
          <w:lang w:val="zh-CN"/>
        </w:rPr>
        <w:t>项目按采购程序申报、批复、采购和项目实施。</w:t>
      </w:r>
    </w:p>
    <w:p>
      <w:pPr>
        <w:adjustRightInd w:val="0"/>
        <w:snapToGrid w:val="0"/>
        <w:spacing w:line="580" w:lineRule="exact"/>
        <w:ind w:firstLine="720"/>
        <w:rPr>
          <w:rFonts w:ascii="仿宋_GB2312" w:hAnsi="宋体"/>
          <w:color w:val="auto"/>
          <w:lang w:val="zh-CN"/>
        </w:rPr>
      </w:pPr>
      <w:r>
        <w:rPr>
          <w:rFonts w:hint="eastAsia" w:ascii="楷体_GB2312" w:hAnsi="宋体" w:eastAsia="楷体_GB2312"/>
          <w:b/>
          <w:color w:val="auto"/>
          <w:lang w:val="zh-CN"/>
        </w:rPr>
        <w:t>（二）项目管理情况。</w:t>
      </w:r>
      <w:r>
        <w:rPr>
          <w:rFonts w:hint="eastAsia" w:ascii="仿宋_GB2312" w:hAnsi="宋体"/>
          <w:color w:val="auto"/>
          <w:lang w:val="zh-CN"/>
        </w:rPr>
        <w:t>项目按政府采购进行申报、采购、备案和项目公示制等相关规定。</w:t>
      </w:r>
    </w:p>
    <w:p>
      <w:pPr>
        <w:adjustRightInd w:val="0"/>
        <w:snapToGrid w:val="0"/>
        <w:spacing w:line="580" w:lineRule="exact"/>
        <w:ind w:firstLine="720"/>
        <w:rPr>
          <w:rFonts w:ascii="仿宋_GB2312" w:hAnsi="宋体"/>
          <w:color w:val="auto"/>
          <w:lang w:val="zh-CN"/>
        </w:rPr>
      </w:pPr>
      <w:r>
        <w:rPr>
          <w:rFonts w:hint="eastAsia" w:ascii="楷体_GB2312" w:hAnsi="宋体" w:eastAsia="楷体_GB2312"/>
          <w:b/>
          <w:color w:val="auto"/>
          <w:lang w:val="zh-CN"/>
        </w:rPr>
        <w:t>（三）项目监管情况。</w:t>
      </w:r>
      <w:r>
        <w:rPr>
          <w:rFonts w:hint="eastAsia" w:ascii="仿宋_GB2312" w:hAnsi="宋体"/>
          <w:color w:val="auto"/>
          <w:lang w:val="zh-CN"/>
        </w:rPr>
        <w:t>项目主管部门严格按规定开展凭审批、监管等，程序和监管工作到位，无违规情况。</w:t>
      </w:r>
    </w:p>
    <w:p>
      <w:pPr>
        <w:adjustRightInd w:val="0"/>
        <w:snapToGrid w:val="0"/>
        <w:spacing w:line="580" w:lineRule="exact"/>
        <w:ind w:firstLine="720"/>
        <w:rPr>
          <w:rFonts w:ascii="仿宋_GB2312" w:hAnsi="宋体"/>
          <w:color w:val="auto"/>
          <w:lang w:val="zh-CN"/>
        </w:rPr>
      </w:pPr>
      <w:r>
        <w:rPr>
          <w:rFonts w:hint="eastAsia" w:ascii="黑体" w:hAnsi="宋体" w:eastAsia="黑体"/>
          <w:color w:val="auto"/>
        </w:rPr>
        <w:t>四、项目绩效情况</w:t>
      </w:r>
      <w:r>
        <w:rPr>
          <w:rFonts w:ascii="仿宋_GB2312" w:hAnsi="宋体"/>
          <w:color w:val="auto"/>
          <w:lang w:val="zh-CN"/>
        </w:rPr>
        <w:tab/>
      </w:r>
    </w:p>
    <w:p>
      <w:pPr>
        <w:adjustRightInd w:val="0"/>
        <w:snapToGrid w:val="0"/>
        <w:spacing w:line="580" w:lineRule="exact"/>
        <w:ind w:firstLine="720"/>
        <w:rPr>
          <w:rFonts w:ascii="楷体_GB2312" w:hAnsi="宋体" w:eastAsia="楷体_GB2312"/>
          <w:b/>
          <w:color w:val="auto"/>
          <w:lang w:val="zh-CN"/>
        </w:rPr>
      </w:pPr>
      <w:r>
        <w:rPr>
          <w:rFonts w:hint="eastAsia" w:ascii="楷体_GB2312" w:hAnsi="宋体" w:eastAsia="楷体_GB2312"/>
          <w:b/>
          <w:color w:val="auto"/>
          <w:lang w:val="zh-CN"/>
        </w:rPr>
        <w:t>（一）项目完成情况。</w:t>
      </w:r>
    </w:p>
    <w:p>
      <w:pPr>
        <w:adjustRightInd w:val="0"/>
        <w:snapToGrid w:val="0"/>
        <w:spacing w:line="580" w:lineRule="exact"/>
        <w:ind w:firstLine="720"/>
        <w:rPr>
          <w:rFonts w:ascii="仿宋_GB2312" w:hAnsi="宋体"/>
          <w:color w:val="auto"/>
          <w:lang w:val="zh-CN"/>
        </w:rPr>
      </w:pPr>
      <w:r>
        <w:rPr>
          <w:rFonts w:hint="eastAsia" w:ascii="仿宋_GB2312" w:hAnsi="宋体"/>
          <w:color w:val="auto"/>
          <w:lang w:val="zh-CN"/>
        </w:rPr>
        <w:t>完成采集土样64个；采集植株样120个。粮食作物化肥利用率试验4个。农户施肥情况调查100户。县级和镇街道总计举办培训班94期次、培训人数8680人次；开展现场观摩2场次，观摩人数80人次。发放技术资料（含施肥建议卡）10000份。发布或更新配方数量35个。通过绵竹土肥qq群发布科学施肥指导信息17条、悬挂科学施肥宣传横幅</w:t>
      </w:r>
      <w:r>
        <w:rPr>
          <w:rFonts w:hint="eastAsia" w:ascii="仿宋_GB2312" w:hAnsi="宋体"/>
          <w:color w:val="auto"/>
        </w:rPr>
        <w:t>120</w:t>
      </w:r>
      <w:r>
        <w:rPr>
          <w:rFonts w:hint="eastAsia" w:ascii="仿宋_GB2312" w:hAnsi="宋体"/>
          <w:color w:val="auto"/>
          <w:lang w:val="zh-CN"/>
        </w:rPr>
        <w:t>个。省级专家“包片联县”科学施肥指导5次。</w:t>
      </w:r>
    </w:p>
    <w:p>
      <w:pPr>
        <w:adjustRightInd w:val="0"/>
        <w:snapToGrid w:val="0"/>
        <w:spacing w:line="580" w:lineRule="exact"/>
        <w:ind w:firstLine="720"/>
        <w:rPr>
          <w:rFonts w:ascii="楷体_GB2312" w:hAnsi="宋体" w:eastAsia="楷体_GB2312"/>
          <w:b/>
          <w:color w:val="auto"/>
          <w:lang w:val="zh-CN"/>
        </w:rPr>
      </w:pPr>
      <w:r>
        <w:rPr>
          <w:rFonts w:hint="eastAsia" w:ascii="楷体_GB2312" w:hAnsi="宋体" w:eastAsia="楷体_GB2312"/>
          <w:b/>
          <w:color w:val="auto"/>
          <w:lang w:val="zh-CN"/>
        </w:rPr>
        <w:t>（二）项目效益情况。</w:t>
      </w:r>
    </w:p>
    <w:p>
      <w:pPr>
        <w:adjustRightInd w:val="0"/>
        <w:snapToGrid w:val="0"/>
        <w:spacing w:line="580" w:lineRule="exact"/>
        <w:ind w:firstLine="720"/>
        <w:rPr>
          <w:rFonts w:ascii="仿宋_GB2312" w:hAnsi="宋体"/>
          <w:color w:val="auto"/>
          <w:lang w:val="zh-CN"/>
        </w:rPr>
      </w:pPr>
      <w:r>
        <w:rPr>
          <w:rFonts w:hint="eastAsia" w:ascii="仿宋_GB2312" w:hAnsi="宋体"/>
          <w:color w:val="auto"/>
          <w:lang w:val="zh-CN"/>
        </w:rPr>
        <w:t>测土配方施肥技术推广面积88.5</w:t>
      </w:r>
      <w:r>
        <w:rPr>
          <w:rFonts w:hint="eastAsia" w:ascii="仿宋_GB2312" w:hAnsi="宋体"/>
          <w:color w:val="auto"/>
          <w:lang w:val="zh-CN"/>
        </w:rPr>
        <w:tab/>
      </w:r>
      <w:r>
        <w:rPr>
          <w:rFonts w:hint="eastAsia" w:ascii="仿宋_GB2312" w:hAnsi="宋体"/>
          <w:color w:val="auto"/>
          <w:lang w:val="zh-CN"/>
        </w:rPr>
        <w:t>万亩次；测土配方施肥技术覆盖率94%</w:t>
      </w:r>
      <w:r>
        <w:rPr>
          <w:rFonts w:hint="eastAsia" w:ascii="仿宋_GB2312" w:hAnsi="宋体"/>
          <w:color w:val="auto"/>
          <w:lang w:val="zh-CN"/>
        </w:rPr>
        <w:tab/>
      </w:r>
      <w:r>
        <w:rPr>
          <w:rFonts w:hint="eastAsia" w:ascii="仿宋_GB2312" w:hAnsi="宋体"/>
          <w:color w:val="auto"/>
          <w:lang w:val="zh-CN"/>
        </w:rPr>
        <w:t>。配方肥施用量（折纯）0.5</w:t>
      </w:r>
      <w:r>
        <w:rPr>
          <w:rFonts w:hint="eastAsia" w:ascii="仿宋_GB2312" w:hAnsi="宋体"/>
          <w:color w:val="auto"/>
          <w:lang w:val="zh-CN"/>
        </w:rPr>
        <w:tab/>
      </w:r>
      <w:r>
        <w:rPr>
          <w:rFonts w:hint="eastAsia" w:ascii="仿宋_GB2312" w:hAnsi="宋体"/>
          <w:color w:val="auto"/>
          <w:lang w:val="zh-CN"/>
        </w:rPr>
        <w:t>万吨，配方肥施用面积30</w:t>
      </w:r>
      <w:r>
        <w:rPr>
          <w:rFonts w:hint="eastAsia" w:ascii="仿宋_GB2312" w:hAnsi="宋体"/>
          <w:color w:val="auto"/>
          <w:lang w:val="zh-CN"/>
        </w:rPr>
        <w:tab/>
      </w:r>
      <w:r>
        <w:rPr>
          <w:rFonts w:hint="eastAsia" w:ascii="仿宋_GB2312" w:hAnsi="宋体"/>
          <w:color w:val="auto"/>
          <w:lang w:val="zh-CN"/>
        </w:rPr>
        <w:t>万亩。推广有机肥推广使用面积</w:t>
      </w:r>
      <w:r>
        <w:rPr>
          <w:rFonts w:hint="eastAsia" w:ascii="仿宋_GB2312" w:hAnsi="宋体"/>
          <w:color w:val="auto"/>
        </w:rPr>
        <w:t>84.7</w:t>
      </w:r>
      <w:r>
        <w:rPr>
          <w:rFonts w:hint="eastAsia" w:ascii="仿宋_GB2312" w:hAnsi="宋体"/>
          <w:color w:val="auto"/>
          <w:lang w:val="zh-CN"/>
        </w:rPr>
        <w:t>万亩其中：商品有机肥2.2</w:t>
      </w:r>
      <w:r>
        <w:rPr>
          <w:rFonts w:hint="eastAsia" w:ascii="仿宋_GB2312" w:hAnsi="宋体"/>
          <w:color w:val="auto"/>
          <w:lang w:val="zh-CN"/>
        </w:rPr>
        <w:tab/>
      </w:r>
      <w:r>
        <w:rPr>
          <w:rFonts w:hint="eastAsia" w:ascii="仿宋_GB2312" w:hAnsi="宋体"/>
          <w:color w:val="auto"/>
          <w:lang w:val="zh-CN"/>
        </w:rPr>
        <w:t>万亩，堆沤肥50</w:t>
      </w:r>
      <w:r>
        <w:rPr>
          <w:rFonts w:hint="eastAsia" w:ascii="仿宋_GB2312" w:hAnsi="宋体"/>
          <w:color w:val="auto"/>
          <w:lang w:val="zh-CN"/>
        </w:rPr>
        <w:tab/>
      </w:r>
      <w:r>
        <w:rPr>
          <w:rFonts w:hint="eastAsia" w:ascii="仿宋_GB2312" w:hAnsi="宋体"/>
          <w:color w:val="auto"/>
          <w:lang w:val="zh-CN"/>
        </w:rPr>
        <w:t>万亩，沼肥32.5万亩。推广其他新型肥料（包括水溶性肥料、生物有机肥等）施用面积22.50万亩</w:t>
      </w:r>
      <w:r>
        <w:rPr>
          <w:rFonts w:hint="eastAsia" w:ascii="仿宋_GB2312" w:hAnsi="宋体"/>
          <w:color w:val="auto"/>
          <w:lang w:val="zh-CN"/>
        </w:rPr>
        <w:tab/>
      </w:r>
      <w:r>
        <w:rPr>
          <w:rFonts w:hint="eastAsia" w:ascii="仿宋_GB2312" w:hAnsi="宋体"/>
          <w:color w:val="auto"/>
          <w:lang w:val="zh-CN"/>
        </w:rPr>
        <w:t>；绿肥种植面积</w:t>
      </w:r>
      <w:r>
        <w:rPr>
          <w:rFonts w:hint="eastAsia" w:ascii="仿宋_GB2312" w:hAnsi="宋体"/>
          <w:color w:val="auto"/>
          <w:lang w:val="zh-CN"/>
        </w:rPr>
        <w:tab/>
      </w:r>
      <w:r>
        <w:rPr>
          <w:rFonts w:hint="eastAsia" w:ascii="仿宋_GB2312" w:hAnsi="宋体"/>
          <w:color w:val="auto"/>
          <w:lang w:val="zh-CN"/>
        </w:rPr>
        <w:t>1.2万亩。推广水稻侧深施肥面积</w:t>
      </w:r>
      <w:r>
        <w:rPr>
          <w:rFonts w:hint="eastAsia" w:ascii="仿宋_GB2312" w:hAnsi="宋体"/>
          <w:color w:val="auto"/>
          <w:lang w:val="zh-CN"/>
        </w:rPr>
        <w:tab/>
      </w:r>
      <w:r>
        <w:rPr>
          <w:rFonts w:hint="eastAsia" w:ascii="仿宋_GB2312" w:hAnsi="宋体"/>
          <w:color w:val="auto"/>
          <w:lang w:val="zh-CN"/>
        </w:rPr>
        <w:t>2.8万亩；水肥一体化推广面积1.2</w:t>
      </w:r>
      <w:r>
        <w:rPr>
          <w:rFonts w:hint="eastAsia" w:ascii="仿宋_GB2312" w:hAnsi="宋体"/>
          <w:color w:val="auto"/>
          <w:lang w:val="zh-CN"/>
        </w:rPr>
        <w:tab/>
      </w:r>
      <w:r>
        <w:rPr>
          <w:rFonts w:hint="eastAsia" w:ascii="仿宋_GB2312" w:hAnsi="宋体"/>
          <w:color w:val="auto"/>
          <w:lang w:val="zh-CN"/>
        </w:rPr>
        <w:t>万亩。</w:t>
      </w:r>
    </w:p>
    <w:p>
      <w:pPr>
        <w:adjustRightInd w:val="0"/>
        <w:snapToGrid w:val="0"/>
        <w:spacing w:line="580" w:lineRule="exact"/>
        <w:ind w:firstLine="720"/>
        <w:rPr>
          <w:rFonts w:ascii="黑体" w:hAnsi="宋体" w:eastAsia="黑体"/>
          <w:color w:val="auto"/>
        </w:rPr>
      </w:pPr>
      <w:r>
        <w:rPr>
          <w:rFonts w:hint="eastAsia" w:ascii="黑体" w:hAnsi="宋体" w:eastAsia="黑体"/>
          <w:color w:val="auto"/>
        </w:rPr>
        <w:t>五、评价结论及建议</w:t>
      </w:r>
    </w:p>
    <w:p>
      <w:pPr>
        <w:adjustRightInd w:val="0"/>
        <w:snapToGrid w:val="0"/>
        <w:spacing w:line="580" w:lineRule="exact"/>
        <w:ind w:firstLine="720"/>
        <w:rPr>
          <w:rFonts w:ascii="楷体_GB2312" w:hAnsi="宋体" w:eastAsia="楷体_GB2312"/>
          <w:b/>
          <w:color w:val="auto"/>
          <w:lang w:val="zh-CN"/>
        </w:rPr>
      </w:pPr>
      <w:r>
        <w:rPr>
          <w:rFonts w:hint="eastAsia" w:ascii="楷体_GB2312" w:hAnsi="宋体" w:eastAsia="楷体_GB2312"/>
          <w:b/>
          <w:color w:val="auto"/>
          <w:lang w:val="zh-CN"/>
        </w:rPr>
        <w:t>（一）评价结论。</w:t>
      </w:r>
    </w:p>
    <w:p>
      <w:pPr>
        <w:adjustRightInd w:val="0"/>
        <w:snapToGrid w:val="0"/>
        <w:spacing w:line="580" w:lineRule="exact"/>
        <w:ind w:firstLine="640" w:firstLineChars="200"/>
        <w:rPr>
          <w:rFonts w:ascii="仿宋_GB2312" w:hAnsi="宋体"/>
          <w:color w:val="auto"/>
          <w:lang w:val="zh-CN"/>
        </w:rPr>
      </w:pPr>
      <w:r>
        <w:rPr>
          <w:rFonts w:hint="eastAsia" w:ascii="仿宋_GB2312" w:hAnsi="宋体"/>
          <w:color w:val="auto"/>
          <w:lang w:val="zh-CN"/>
        </w:rPr>
        <w:t>《绵竹市</w:t>
      </w:r>
      <w:r>
        <w:rPr>
          <w:rFonts w:hint="eastAsia" w:ascii="仿宋_GB2312" w:hAnsi="宋体"/>
          <w:color w:val="auto"/>
        </w:rPr>
        <w:t>2022年</w:t>
      </w:r>
      <w:r>
        <w:rPr>
          <w:rFonts w:hint="eastAsia" w:ascii="仿宋_GB2312" w:hAnsi="宋体"/>
          <w:color w:val="auto"/>
          <w:lang w:val="zh-CN"/>
        </w:rPr>
        <w:t>化肥减量增效项目》符合党中央、国务院和省委、省政府决策部署；符合当前经济社会发展需要，政策和实际需求吻合。可行性论证充分，规划、管理办法、指导意见等制度健全完善。项目预期提供的产品、服务、效益或其他目标明确细化，可衡量。绩效目标设定符合实际需求、合理可行。资金分配管理科学合理、规范有序;体现突出重点或公平性，符合财政资金改革方向。资金使用规范；管理制度健全，管理过程科学规范。实际完成任务量符合绩效目标设定任务量；符合绩效目标设定的验收标准，达到行业基准水平；按项目方案和省农业农村厅要求按时完成工作目标；实际完成成本符合预计完成成本。项目经济效益、社会效益、生态效益、可持续效益、公平效益、使用效益等显著；服务对象满意度高。</w:t>
      </w:r>
    </w:p>
    <w:p>
      <w:pPr>
        <w:adjustRightInd w:val="0"/>
        <w:snapToGrid w:val="0"/>
        <w:spacing w:line="580" w:lineRule="exact"/>
        <w:ind w:firstLine="720"/>
        <w:rPr>
          <w:rFonts w:ascii="楷体_GB2312" w:hAnsi="宋体" w:eastAsia="楷体_GB2312"/>
          <w:b/>
          <w:color w:val="auto"/>
          <w:lang w:val="zh-CN"/>
        </w:rPr>
      </w:pPr>
      <w:r>
        <w:rPr>
          <w:rFonts w:hint="eastAsia" w:ascii="楷体_GB2312" w:hAnsi="宋体" w:eastAsia="楷体_GB2312"/>
          <w:b/>
          <w:color w:val="auto"/>
          <w:lang w:val="zh-CN"/>
        </w:rPr>
        <w:t>（二）存在的问题。</w:t>
      </w:r>
    </w:p>
    <w:p>
      <w:pPr>
        <w:adjustRightInd w:val="0"/>
        <w:snapToGrid w:val="0"/>
        <w:spacing w:line="580" w:lineRule="exact"/>
        <w:ind w:firstLine="720"/>
        <w:rPr>
          <w:rFonts w:ascii="仿宋_GB2312" w:hAnsi="宋体"/>
          <w:color w:val="auto"/>
          <w:lang w:val="zh-CN"/>
        </w:rPr>
      </w:pPr>
      <w:r>
        <w:rPr>
          <w:rFonts w:hint="eastAsia" w:ascii="仿宋_GB2312" w:hAnsi="宋体"/>
          <w:color w:val="auto"/>
          <w:lang w:val="zh-CN"/>
        </w:rPr>
        <w:t>由于受到绵竹市“</w:t>
      </w:r>
      <w:r>
        <w:rPr>
          <w:rFonts w:hint="eastAsia" w:ascii="仿宋_GB2312" w:hAnsi="宋体"/>
          <w:color w:val="auto"/>
        </w:rPr>
        <w:t>11.13</w:t>
      </w:r>
      <w:r>
        <w:rPr>
          <w:rFonts w:hint="eastAsia" w:ascii="仿宋_GB2312" w:hAnsi="宋体"/>
          <w:color w:val="auto"/>
          <w:lang w:val="zh-CN"/>
        </w:rPr>
        <w:t>”重大新冠疫情影响，项目推进工作相对滞后。其中：一是委托省农科院资源与环境研究所承担的基础性工作（修正完善肥料配方、测土配方施肥系统完善更新）完成了合同签订和工作任务，资金未拨付。二是有机肥示范，完成了业主遴选公告。三是技术服务，委托省农科院资源与环境研究所承担对市、镇（街道）的肥料技术推广人员开展技术培训，已完成合同签订，预定培训时间多次推后；技术资料印制完成了招标采购，已签订合同，中标单位正在开展印制工作。</w:t>
      </w:r>
    </w:p>
    <w:p>
      <w:pPr>
        <w:adjustRightInd w:val="0"/>
        <w:snapToGrid w:val="0"/>
        <w:spacing w:line="580" w:lineRule="exact"/>
        <w:ind w:firstLine="720"/>
        <w:rPr>
          <w:rFonts w:ascii="楷体_GB2312" w:hAnsi="宋体" w:eastAsia="楷体_GB2312"/>
          <w:b/>
          <w:color w:val="auto"/>
          <w:lang w:val="zh-CN"/>
        </w:rPr>
      </w:pPr>
      <w:r>
        <w:rPr>
          <w:rFonts w:hint="eastAsia" w:ascii="楷体_GB2312" w:hAnsi="宋体" w:eastAsia="楷体_GB2312"/>
          <w:b/>
          <w:color w:val="auto"/>
          <w:lang w:val="zh-CN"/>
        </w:rPr>
        <w:t>（三）相关建议。</w:t>
      </w:r>
    </w:p>
    <w:p>
      <w:pPr>
        <w:adjustRightInd w:val="0"/>
        <w:snapToGrid w:val="0"/>
        <w:spacing w:line="580" w:lineRule="exact"/>
        <w:ind w:firstLine="640" w:firstLineChars="200"/>
        <w:rPr>
          <w:rFonts w:ascii="仿宋_GB2312" w:hAnsi="宋体"/>
          <w:color w:val="auto"/>
          <w:lang w:val="zh-CN"/>
        </w:rPr>
      </w:pPr>
      <w:r>
        <w:rPr>
          <w:rFonts w:hint="eastAsia" w:ascii="仿宋_GB2312" w:hAnsi="宋体"/>
          <w:color w:val="auto"/>
          <w:lang w:val="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3F03A4C-060C-442D-91BD-7F4525856BE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2089A23E-C04E-48B8-935F-EF0FC6C9FE8E}"/>
  </w:font>
  <w:font w:name="仿宋_GB2312">
    <w:altName w:val="仿宋"/>
    <w:panose1 w:val="02010609030101010101"/>
    <w:charset w:val="86"/>
    <w:family w:val="modern"/>
    <w:pitch w:val="default"/>
    <w:sig w:usb0="00000000" w:usb1="00000000" w:usb2="00000010" w:usb3="00000000" w:csb0="00040000" w:csb1="00000000"/>
    <w:embedRegular r:id="rId3" w:fontKey="{9DA25D3A-46CD-4A35-A200-E5BCACBDFC67}"/>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auto"/>
    <w:pitch w:val="default"/>
    <w:sig w:usb0="00000001" w:usb1="08000000" w:usb2="00000000" w:usb3="00000000" w:csb0="00040000" w:csb1="00000000"/>
    <w:embedRegular r:id="rId4" w:fontKey="{E51C251E-9F53-46BA-BA28-0DE35F9A2462}"/>
  </w:font>
  <w:font w:name="楷体_GB2312">
    <w:altName w:val="楷体"/>
    <w:panose1 w:val="00000000000000000000"/>
    <w:charset w:val="86"/>
    <w:family w:val="modern"/>
    <w:pitch w:val="default"/>
    <w:sig w:usb0="00000000" w:usb1="00000000" w:usb2="00000000" w:usb3="00000000" w:csb0="00040000" w:csb1="00000000"/>
    <w:embedRegular r:id="rId5" w:fontKey="{127564CE-78AC-4C37-8D2B-EE6CC3D2A9A6}"/>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UyYzIzYmE3M2ZiMzQ2NzQwZTY1ZGI5ZjM5NDFlMWQifQ=="/>
  </w:docVars>
  <w:rsids>
    <w:rsidRoot w:val="00FD3EFA"/>
    <w:rsid w:val="000569F0"/>
    <w:rsid w:val="00291918"/>
    <w:rsid w:val="00291D76"/>
    <w:rsid w:val="002A2204"/>
    <w:rsid w:val="002E7D7A"/>
    <w:rsid w:val="002F3029"/>
    <w:rsid w:val="00427240"/>
    <w:rsid w:val="004A3D8D"/>
    <w:rsid w:val="004C1EF5"/>
    <w:rsid w:val="004D516D"/>
    <w:rsid w:val="00535C6B"/>
    <w:rsid w:val="00543D64"/>
    <w:rsid w:val="00572F4E"/>
    <w:rsid w:val="005842A2"/>
    <w:rsid w:val="005E4500"/>
    <w:rsid w:val="006B5E68"/>
    <w:rsid w:val="007371D7"/>
    <w:rsid w:val="007F6326"/>
    <w:rsid w:val="008707A1"/>
    <w:rsid w:val="008C2BAC"/>
    <w:rsid w:val="008F6FBC"/>
    <w:rsid w:val="008F788A"/>
    <w:rsid w:val="00925658"/>
    <w:rsid w:val="00936B74"/>
    <w:rsid w:val="009463AD"/>
    <w:rsid w:val="00957E9B"/>
    <w:rsid w:val="00A36A47"/>
    <w:rsid w:val="00AC3975"/>
    <w:rsid w:val="00B91620"/>
    <w:rsid w:val="00BC3F3B"/>
    <w:rsid w:val="00C10EE0"/>
    <w:rsid w:val="00E4357F"/>
    <w:rsid w:val="00ED3896"/>
    <w:rsid w:val="00EE2806"/>
    <w:rsid w:val="00F251E9"/>
    <w:rsid w:val="00FD3EFA"/>
    <w:rsid w:val="00FD5371"/>
    <w:rsid w:val="00FD62E7"/>
    <w:rsid w:val="016832C4"/>
    <w:rsid w:val="09742682"/>
    <w:rsid w:val="11B57394"/>
    <w:rsid w:val="283E2268"/>
    <w:rsid w:val="367F64EC"/>
    <w:rsid w:val="64323F7B"/>
    <w:rsid w:val="68C64E65"/>
    <w:rsid w:val="6FFA2372"/>
    <w:rsid w:val="75A77A0B"/>
    <w:rsid w:val="7AE9042F"/>
    <w:rsid w:val="7F871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unhideWhenUsed/>
    <w:qFormat/>
    <w:uiPriority w:val="99"/>
    <w:pPr>
      <w:spacing w:after="120"/>
    </w:pPr>
  </w:style>
  <w:style w:type="paragraph" w:styleId="3">
    <w:name w:val="footer"/>
    <w:basedOn w:val="1"/>
    <w:link w:val="9"/>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Body Text First Indent"/>
    <w:basedOn w:val="2"/>
    <w:autoRedefine/>
    <w:semiHidden/>
    <w:unhideWhenUsed/>
    <w:qFormat/>
    <w:uiPriority w:val="99"/>
    <w:pPr>
      <w:ind w:firstLine="420" w:firstLineChars="100"/>
    </w:pPr>
  </w:style>
  <w:style w:type="character" w:customStyle="1" w:styleId="8">
    <w:name w:val="页眉 字符"/>
    <w:basedOn w:val="7"/>
    <w:link w:val="4"/>
    <w:autoRedefine/>
    <w:qFormat/>
    <w:uiPriority w:val="99"/>
    <w:rPr>
      <w:sz w:val="18"/>
      <w:szCs w:val="18"/>
    </w:rPr>
  </w:style>
  <w:style w:type="character" w:customStyle="1" w:styleId="9">
    <w:name w:val="页脚 字符"/>
    <w:basedOn w:val="7"/>
    <w:link w:val="3"/>
    <w:autoRedefine/>
    <w:qFormat/>
    <w:uiPriority w:val="99"/>
    <w:rPr>
      <w:sz w:val="18"/>
      <w:szCs w:val="18"/>
    </w:rPr>
  </w:style>
  <w:style w:type="paragraph" w:customStyle="1" w:styleId="10">
    <w:name w:val="四号正文"/>
    <w:basedOn w:val="1"/>
    <w:link w:val="11"/>
    <w:autoRedefine/>
    <w:qFormat/>
    <w:uiPriority w:val="99"/>
    <w:pPr>
      <w:spacing w:line="360" w:lineRule="auto"/>
    </w:pPr>
    <w:rPr>
      <w:rFonts w:ascii="??" w:hAnsi="??" w:eastAsia="宋体"/>
      <w:color w:val="000000"/>
      <w:kern w:val="0"/>
      <w:sz w:val="28"/>
      <w:szCs w:val="21"/>
    </w:rPr>
  </w:style>
  <w:style w:type="character" w:customStyle="1" w:styleId="11">
    <w:name w:val="四号正文 Char"/>
    <w:link w:val="10"/>
    <w:autoRedefine/>
    <w:qFormat/>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564</Words>
  <Characters>3221</Characters>
  <Lines>26</Lines>
  <Paragraphs>7</Paragraphs>
  <TotalTime>13</TotalTime>
  <ScaleCrop>false</ScaleCrop>
  <LinksUpToDate>false</LinksUpToDate>
  <CharactersWithSpaces>3778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幻</cp:lastModifiedBy>
  <dcterms:modified xsi:type="dcterms:W3CDTF">2024-01-25T09:03:29Z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CB82DA8564584F4D8F470A694E7D86E7</vt:lpwstr>
  </property>
</Properties>
</file>