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580" w:lineRule="exact"/>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2022年中央财政农业资源及生态保护资金</w:t>
      </w:r>
    </w:p>
    <w:p>
      <w:pPr>
        <w:spacing w:line="580" w:lineRule="exact"/>
        <w:jc w:val="center"/>
        <w:rPr>
          <w:rFonts w:hint="eastAsia" w:asciiTheme="minorEastAsia" w:hAnsiTheme="minorEastAsia" w:eastAsiaTheme="minorEastAsia" w:cstheme="minorEastAsia"/>
        </w:rPr>
      </w:pPr>
      <w:bookmarkStart w:id="0" w:name="_GoBack"/>
      <w:bookmarkEnd w:id="0"/>
      <w:r>
        <w:rPr>
          <w:rFonts w:hint="eastAsia" w:asciiTheme="minorEastAsia" w:hAnsiTheme="minorEastAsia" w:eastAsiaTheme="minorEastAsia" w:cstheme="minorEastAsia"/>
        </w:rPr>
        <w:t>（耕地轮作休耕试点）</w:t>
      </w:r>
    </w:p>
    <w:p>
      <w:pPr>
        <w:pStyle w:val="9"/>
        <w:spacing w:line="580" w:lineRule="exact"/>
        <w:ind w:firstLine="640"/>
        <w:jc w:val="center"/>
        <w:rPr>
          <w:rFonts w:hint="eastAsia" w:ascii="宋体"/>
          <w:color w:val="auto"/>
          <w:kern w:val="2"/>
          <w:szCs w:val="32"/>
        </w:rPr>
      </w:pPr>
    </w:p>
    <w:p>
      <w:pPr>
        <w:adjustRightInd w:val="0"/>
        <w:snapToGrid w:val="0"/>
        <w:spacing w:line="580" w:lineRule="exact"/>
        <w:ind w:firstLine="72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（一）项目基本情况。</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 xml:space="preserve">2022年，省上下达我市耕地轮作休耕试点资金450万元，补贴内容及资金计划如下： </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（一）产业补贴：计划资金410万元。在确保耕地轮作种植面积完成的情况下，由市财政局、市农业农村局根据实际种植面积核定具体补助标准。</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1、现金补贴。补贴对象是油菜单一经营主体扩种30亩及以上的种植户，每亩补贴不超过300元。严格认定扩种面积，坚决杜绝套取补助资金的现象发生。</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各镇人民政府、街道办事处负责所辖行政区域内油菜扩种面积的补贴数据统计，开展以村、组为单位的补贴面积的登记、汇总、审核。市农业农村局根据各镇街申报补贴面积核实后，通过德阳市惠民惠农补贴阳光审批系统进行申报，最后通过德阳市惠民惠农“一卡通”系统进行资金的发放。</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2、社会化服务。在耕地轮作种植油菜区对种植面积在5-30亩（不含）开展油菜代防、代收环节的社会化服务。补贴资金主要用于防治药剂和两次代防作业费。</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（二）技术培训。计划资金10万元，资金主要用于教师课金、参训人员误工补助费、技术编制及印刷费等。主要支持2023年大春技术培训。</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三)油菜高产高效技术示范推广。计划资金20万元，在新市镇石虎村、紫岩街道双坪村等地开展油菜新品种、彩色油菜等品种展示；展示油菜绿色“双减”栽培技术；示范秋洋芋套种油菜技术等各项高新技术示范。</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（四）产业基地景观的建设。计划资金10万元，在九龙镇棚花村开展五彩油菜景观建设，提高基地景区化的观赏性。</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根据四川省财政厅、四川省农业农村厅《关于提前下达2022年中央财政农业资源及生态保护补助资金的通知》（川财农[2021]169号）和《四川省农业农村厅关于印发〈四川省2022年耕地轮作休耕扩种油菜试点工作实施方案〉的通知》（川农函[2022]152号）要求，结合农时生产和绵竹实际，制定了《绵竹市2022年耕地轮作休耕扩种油菜项目实施方案》，于10月24日以绵竹市政府审批同意， 我局于10月25日下发《绵竹市农业农村局关于做好绵竹市2022年耕地轮作休耕扩种油菜工作的通知》（竹农种植【2022】36号）将补贴对象、标准、方式及补贴内容等工作要求进行详细说明，为准确核实油菜种植情况提出种植户下载MAP智农软件绘制油菜种植田块分布图。该项目任务是种植油菜3万亩，同时指导农户利用老宅基地种植油菜，确保扩种任务完成。用于油菜产业补贴资金410万元，主要用于一是油菜单一经营主体种植（扩种）30亩及以上的种植户，每亩补贴不超过300元。二是在扩种区对种植面积在5-30亩（不含）开展油菜代防、代收环节的社会化服务。一是在扩种区开展油菜代收作业1万亩，推广油菜分段机械化收割。二是开展油菜主要病虫害（蚜虫、菌核病）代防作业面积1万亩，补贴资金主要用于防治药剂和两次代防作业费。</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按照文件要求，参照绵竹市项目支出绩效评价指标体系开展自评。</w:t>
      </w:r>
    </w:p>
    <w:p>
      <w:pPr>
        <w:adjustRightInd w:val="0"/>
        <w:snapToGrid w:val="0"/>
        <w:spacing w:line="580" w:lineRule="exact"/>
        <w:ind w:firstLine="720"/>
        <w:rPr>
          <w:rFonts w:ascii="黑体" w:hAnsi="宋体" w:eastAsia="黑体"/>
          <w:sz w:val="28"/>
        </w:rPr>
      </w:pPr>
      <w:r>
        <w:rPr>
          <w:rFonts w:hint="eastAsia" w:ascii="黑体" w:hAnsi="宋体" w:eastAsia="黑体"/>
          <w:sz w:val="28"/>
        </w:rPr>
        <w:t>二、项目资金申报及使用情况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根据资金文件要求，2023年中央财政农业资源及生态保护补助资金（耕地轮作休耕制度试点）项目均已申报且审议通过。</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（二）资金计划、到位及使用情况（可用表格形式反映）。</w:t>
      </w:r>
    </w:p>
    <w:p>
      <w:pPr>
        <w:adjustRightInd w:val="0"/>
        <w:snapToGrid w:val="0"/>
        <w:spacing w:line="580" w:lineRule="exact"/>
        <w:ind w:firstLine="720"/>
        <w:rPr>
          <w:rFonts w:hint="eastAsia" w:asciiTheme="minorEastAsia" w:hAnsiTheme="minorEastAsia" w:eastAsiaTheme="minorEastAsia" w:cstheme="minorEastAsia"/>
          <w:sz w:val="28"/>
          <w:lang w:val="en-US" w:eastAsia="zh-CN"/>
        </w:rPr>
      </w:pPr>
      <w:r>
        <w:rPr>
          <w:rFonts w:hint="eastAsia" w:asciiTheme="minorEastAsia" w:hAnsiTheme="minorEastAsia" w:eastAsiaTheme="minorEastAsia" w:cstheme="minorEastAsia"/>
          <w:sz w:val="28"/>
          <w:lang w:val="zh-CN"/>
        </w:rPr>
        <w:t>1．资金计划。产业补贴：410万元；技术培训：10万元；油菜高产高效技术示范推广：20万元；产业基地景观的建设：10万元，共计</w:t>
      </w:r>
      <w:r>
        <w:rPr>
          <w:rFonts w:hint="eastAsia" w:asciiTheme="minorEastAsia" w:hAnsiTheme="minorEastAsia" w:eastAsiaTheme="minorEastAsia" w:cstheme="minorEastAsia"/>
          <w:sz w:val="28"/>
          <w:lang w:val="en-US" w:eastAsia="zh-CN"/>
        </w:rPr>
        <w:t>450万元。</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2．资金到位。</w:t>
      </w:r>
      <w:r>
        <w:rPr>
          <w:rFonts w:hint="eastAsia" w:asciiTheme="minorEastAsia" w:hAnsiTheme="minorEastAsia" w:eastAsiaTheme="minorEastAsia" w:cstheme="minorEastAsia"/>
          <w:sz w:val="28"/>
          <w:lang w:val="zh-CN" w:eastAsia="zh-CN"/>
        </w:rPr>
        <w:t>资金均已到位。</w:t>
      </w:r>
    </w:p>
    <w:p>
      <w:pPr>
        <w:adjustRightInd w:val="0"/>
        <w:snapToGrid w:val="0"/>
        <w:spacing w:line="580" w:lineRule="exact"/>
        <w:ind w:firstLine="720"/>
        <w:rPr>
          <w:rFonts w:hint="eastAsia" w:asciiTheme="minorEastAsia" w:hAnsiTheme="minorEastAsia" w:eastAsiaTheme="minorEastAsia" w:cstheme="minorEastAsia"/>
          <w:sz w:val="28"/>
          <w:lang w:val="en-US" w:eastAsia="zh-CN"/>
        </w:rPr>
      </w:pPr>
      <w:r>
        <w:rPr>
          <w:rFonts w:hint="eastAsia" w:asciiTheme="minorEastAsia" w:hAnsiTheme="minorEastAsia" w:eastAsiaTheme="minorEastAsia" w:cstheme="minorEastAsia"/>
          <w:sz w:val="28"/>
          <w:lang w:val="zh-CN"/>
        </w:rPr>
        <w:t>3．资金使用。资金严格按照要求，共计支付</w:t>
      </w:r>
      <w:r>
        <w:rPr>
          <w:rFonts w:hint="eastAsia" w:asciiTheme="minorEastAsia" w:hAnsiTheme="minorEastAsia" w:eastAsiaTheme="minorEastAsia" w:cstheme="minorEastAsia"/>
          <w:sz w:val="28"/>
          <w:lang w:val="en-US" w:eastAsia="zh-CN"/>
        </w:rPr>
        <w:t>4499980元。</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根据项目管理要求，明确补助对象、补助标准、补助方式、实施要求和监管措施。财务管理制度健全，严格执行财务管理制度，账务处理及时，会计核算规范。</w:t>
      </w:r>
    </w:p>
    <w:p>
      <w:pPr>
        <w:adjustRightInd w:val="0"/>
        <w:snapToGrid w:val="0"/>
        <w:spacing w:line="58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结合项目组织实施管理办法，重点围绕以下内容进行分析评价，并对自评中发现的问题分析说明。</w:t>
      </w:r>
    </w:p>
    <w:p>
      <w:pPr>
        <w:numPr>
          <w:ilvl w:val="0"/>
          <w:numId w:val="1"/>
        </w:numPr>
        <w:adjustRightInd w:val="0"/>
        <w:snapToGrid w:val="0"/>
        <w:spacing w:line="580" w:lineRule="exact"/>
        <w:ind w:firstLine="720"/>
        <w:rPr>
          <w:rFonts w:hint="eastAsia" w:ascii="楷体_GB2312" w:hAnsi="宋体" w:eastAsia="楷体_GB2312"/>
          <w:b/>
          <w:sz w:val="28"/>
          <w:lang w:val="zh-CN"/>
        </w:rPr>
      </w:pPr>
      <w:r>
        <w:rPr>
          <w:rFonts w:hint="eastAsia" w:ascii="楷体_GB2312" w:hAnsi="宋体" w:eastAsia="楷体_GB2312"/>
          <w:b/>
          <w:sz w:val="28"/>
          <w:lang w:val="zh-CN"/>
        </w:rPr>
        <w:t>项目组织架构及实施流程。</w:t>
      </w:r>
    </w:p>
    <w:p>
      <w:pPr>
        <w:adjustRightInd w:val="0"/>
        <w:snapToGrid w:val="0"/>
        <w:spacing w:line="580" w:lineRule="exact"/>
        <w:ind w:firstLine="720"/>
        <w:rPr>
          <w:rFonts w:hint="eastAsia" w:ascii="仿宋_GB2312" w:hAnsi="宋体" w:cs="Times New Roman"/>
          <w:sz w:val="28"/>
          <w:lang w:val="zh-CN"/>
        </w:rPr>
      </w:pPr>
      <w:r>
        <w:rPr>
          <w:rFonts w:hint="eastAsia" w:asciiTheme="minorEastAsia" w:hAnsiTheme="minorEastAsia" w:eastAsiaTheme="minorEastAsia" w:cstheme="minorEastAsia"/>
          <w:sz w:val="28"/>
          <w:lang w:val="zh-CN" w:eastAsia="zh-CN"/>
        </w:rPr>
        <w:t>根据</w:t>
      </w:r>
      <w:r>
        <w:rPr>
          <w:rFonts w:hint="eastAsia" w:asciiTheme="minorEastAsia" w:hAnsiTheme="minorEastAsia" w:eastAsiaTheme="minorEastAsia" w:cstheme="minorEastAsia"/>
          <w:sz w:val="28"/>
          <w:lang w:val="zh-CN"/>
        </w:rPr>
        <w:t>《绵竹市2022年耕地轮作休耕扩种油菜项目实施方案》，严格执行补贴对象、标准、方式及补贴内容等工作要求，为准确核实</w:t>
      </w:r>
      <w:r>
        <w:rPr>
          <w:rFonts w:hint="eastAsia" w:ascii="仿宋_GB2312" w:hAnsi="宋体"/>
          <w:sz w:val="28"/>
          <w:lang w:val="zh-CN"/>
        </w:rPr>
        <w:t>油菜种植情况提出种植户下载</w:t>
      </w:r>
      <w:r>
        <w:rPr>
          <w:rFonts w:hint="eastAsia" w:asciiTheme="minorEastAsia" w:hAnsiTheme="minorEastAsia" w:eastAsiaTheme="minorEastAsia" w:cstheme="minorEastAsia"/>
          <w:sz w:val="28"/>
          <w:lang w:val="zh-CN"/>
        </w:rPr>
        <w:t>MAP</w:t>
      </w:r>
      <w:r>
        <w:rPr>
          <w:rFonts w:hint="eastAsia" w:ascii="仿宋_GB2312" w:hAnsi="宋体"/>
          <w:sz w:val="28"/>
          <w:lang w:val="zh-CN"/>
        </w:rPr>
        <w:t>智农软件绘制油菜种植田块分布图，核算补贴标准后由各镇（街道）发放补贴。</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（二）项目管理情况。</w:t>
      </w:r>
      <w:r>
        <w:rPr>
          <w:rFonts w:hint="eastAsia" w:ascii="仿宋_GB2312" w:hAnsi="宋体"/>
          <w:sz w:val="28"/>
          <w:lang w:val="zh-CN"/>
        </w:rPr>
        <w:t>实行补贴面积和补贴资金公示制。</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（三）项目监管情况。</w:t>
      </w:r>
      <w:r>
        <w:rPr>
          <w:rFonts w:hint="eastAsia" w:ascii="仿宋_GB2312" w:hAnsi="宋体"/>
          <w:sz w:val="28"/>
          <w:lang w:val="zh-CN"/>
        </w:rPr>
        <w:t>实行补贴面积和补贴资金公示制，保证补贴资金公开透明，形成群众监管的长效机制。</w:t>
      </w:r>
    </w:p>
    <w:p>
      <w:pPr>
        <w:adjustRightInd w:val="0"/>
        <w:snapToGrid w:val="0"/>
        <w:spacing w:line="58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adjustRightInd w:val="0"/>
        <w:snapToGrid w:val="0"/>
        <w:spacing w:line="580" w:lineRule="exact"/>
        <w:ind w:firstLine="720"/>
        <w:rPr>
          <w:rFonts w:hint="eastAsia" w:ascii="楷体_GB2312" w:hAnsi="宋体" w:eastAsia="楷体_GB2312"/>
          <w:b/>
          <w:sz w:val="28"/>
          <w:lang w:val="zh-CN"/>
        </w:rPr>
      </w:pPr>
      <w:r>
        <w:rPr>
          <w:rFonts w:hint="eastAsia" w:ascii="楷体_GB2312" w:hAnsi="宋体" w:eastAsia="楷体_GB2312"/>
          <w:b/>
          <w:sz w:val="28"/>
          <w:lang w:val="zh-CN"/>
        </w:rPr>
        <w:t>（一）项目完成情况。</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由于方案上报市政府审批时间过长，我局按农时季节已于8月16日召开外来入侵物种普查启动培训会和9月8日召开的全市秋冬作粮油生产工作推进会上将种植任务和补贴政策进行宣传动员，并通过2023年粮油技术培训会通知到种植户，全市轮作种植油菜30800.7亩。</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1、粮食播种面积和产量任务分解到镇街。</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绵竹市农业农村局在绵竹市2023年小春生产意见中，将油菜种植面积、单产等进行分解，按党政同责原则进行考核。</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2、技术培训到位。</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在小春播种时，安排10万元用于2023年小春粮油技术5000人次，同时通过QQ群、微信、短信等多种方式开展实用技术培训培训1.5万人次。</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3、实用技术指导到位。</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一是印发油菜栽培训技术明白纸5000份，二是病虫草绿色防控技术意见通过短信、QQ群、微信群进行宣传，三是入户到田指导。</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4、项目落实到位提高种油菜积极性。</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根据川财农[2021]169号和川农函[2022]152号）要求坚持“油菜生产作为一件大事来抓”的思想，结合绵竹实际编制的《绵竹市2022年耕地轮作休耕扩种油菜项目实施方案》以及绵竹市人民政府同意，全市轮作种植油菜30800.7亩。2022年扩种补贴面积通过种植户申报，村（社区）镇（街道）核实，农业农村局核定，通过德阳市惠民惠农“一卡通”阳光审批平台申报，全市补贴农户30亩以上102户，面积9997.6亩，补贴标准为300元/亩，资金29992800元。补贴5-30亩58户，面积787.61亩，补贴标准为250元/亩，资金为196902.5 元，共计3196182.5元。已将通过德阳市惠民惠农补贴资金 “一卡通”监管服务平台发放。补贴1-5亩3586户，面积4762.09亩，补贴标准为189.8元/亩，资金903817.5元，已通过镇街道发放。</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（二）项目效益情况。</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一是虽然纯种植油菜收获油菜籽的收益低于种植小麦的收入，但对于菜—油两用的种植户经济收入高，如什地镇绵河村的农户：1亩菜苔500公斤左右，每吨7000元，菜苔收入3500余元；亩收油菜75公斤，5.6元/公斤，有420元，经济收入高，虽然人工费用和种植户付出成本高。总体经济效益好。</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二是促进农旅结合，提升油菜种植综合效益。特别是棚花村的五彩油菜花节，带到农家乐的生意，收入达230万元。</w:t>
      </w:r>
    </w:p>
    <w:p>
      <w:pPr>
        <w:adjustRightInd w:val="0"/>
        <w:snapToGrid w:val="0"/>
        <w:spacing w:line="580" w:lineRule="exact"/>
        <w:ind w:firstLine="720"/>
        <w:rPr>
          <w:rFonts w:ascii="黑体" w:hAnsi="宋体" w:eastAsia="黑体"/>
          <w:sz w:val="28"/>
        </w:rPr>
      </w:pPr>
      <w:r>
        <w:rPr>
          <w:rFonts w:hint="eastAsia" w:ascii="黑体" w:hAnsi="宋体" w:eastAsia="黑体"/>
          <w:sz w:val="28"/>
        </w:rPr>
        <w:t>五、评价结论及建议</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adjustRightInd w:val="0"/>
        <w:snapToGrid w:val="0"/>
        <w:spacing w:line="580" w:lineRule="exact"/>
        <w:ind w:firstLine="560" w:firstLineChars="200"/>
        <w:rPr>
          <w:rFonts w:ascii="仿宋_GB2312" w:hAnsi="宋体"/>
          <w:sz w:val="28"/>
          <w:bdr w:val="single" w:color="auto" w:sz="4" w:space="0"/>
          <w:lang w:val="zh-CN"/>
        </w:rPr>
      </w:pPr>
      <w:r>
        <w:rPr>
          <w:rFonts w:hint="eastAsia" w:ascii="仿宋_GB2312" w:hAnsi="宋体"/>
          <w:sz w:val="28"/>
          <w:lang w:val="zh-CN"/>
        </w:rPr>
        <w:t>完成补贴资金的发放，</w:t>
      </w:r>
      <w:r>
        <w:rPr>
          <w:rFonts w:hint="eastAsia" w:ascii="仿宋_GB2312" w:hAnsi="宋体" w:cs="Times New Roman"/>
          <w:sz w:val="28"/>
          <w:lang w:val="zh-CN"/>
        </w:rPr>
        <w:t>促进农旅结合，提升油菜种植综合效益，</w:t>
      </w:r>
      <w:r>
        <w:rPr>
          <w:rFonts w:hint="eastAsia" w:ascii="仿宋_GB2312" w:hAnsi="宋体"/>
          <w:sz w:val="28"/>
          <w:lang w:val="zh-CN"/>
        </w:rPr>
        <w:t>提高农业总体</w:t>
      </w:r>
      <w:r>
        <w:rPr>
          <w:rFonts w:hint="eastAsia" w:ascii="仿宋_GB2312" w:hAnsi="宋体" w:cs="Times New Roman"/>
          <w:sz w:val="28"/>
          <w:lang w:val="zh-CN"/>
        </w:rPr>
        <w:t>经济效益</w:t>
      </w:r>
      <w:r>
        <w:rPr>
          <w:rFonts w:hint="eastAsia" w:ascii="仿宋_GB2312" w:hAnsi="宋体"/>
          <w:sz w:val="28"/>
          <w:lang w:val="zh-CN"/>
        </w:rPr>
        <w:t>。</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（二）存在的问题。</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1、土壤酸化较严重，油菜根肿病发病率较高。土壤检测数据显示，全市酸性土壤的比例比1982年第二次土壤普查数据高13个百分点。土壤酸化的直接结果就是我市作为十字花科作物的油菜根肿病发病率较高，难以获得高产。</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2、加快科研攻关，提高油菜种植机械化水平。我市除少量自留地油菜外，其余多数为水田油菜，油菜播种时期正值秋雨绵绵，对机械化播种设备要求高。收获油菜正值抢收抢种的“双抢”时期，为此研究和组装轻简化栽培技术，一是要有适应机收的品种，二是要有适应川西平原机播的机具显得尤其重要。</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3、油菜订单发展难度大。虽然我市有绵竹富王粮油有限责任公司、四川省剑龙粮油有限责任公司和绵竹市骏王粮油有限责任公司，但目前均没加入“天府菜油”产业联盟，油菜订单发展严重影响油菜产业的发展。</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粮食作物与油菜争地现象较突出，建议统筹考虑粮食播种面积和扩种油菜面积的考核指标。</w:t>
      </w:r>
    </w:p>
    <w:p>
      <w:pPr>
        <w:adjustRightInd w:val="0"/>
        <w:snapToGrid w:val="0"/>
        <w:spacing w:line="580" w:lineRule="exact"/>
        <w:ind w:firstLine="560" w:firstLineChars="200"/>
        <w:rPr>
          <w:rFonts w:ascii="仿宋_GB2312" w:hAnsi="宋体"/>
          <w:sz w:val="28"/>
          <w:lang w:val="zh-CN"/>
        </w:rPr>
      </w:pPr>
    </w:p>
    <w:p>
      <w:pPr>
        <w:adjustRightInd w:val="0"/>
        <w:snapToGrid w:val="0"/>
        <w:spacing w:line="580" w:lineRule="exact"/>
        <w:ind w:firstLine="560" w:firstLineChars="200"/>
        <w:rPr>
          <w:rFonts w:ascii="仿宋_GB2312" w:hAnsi="宋体"/>
          <w:sz w:val="28"/>
          <w:lang w:val="zh-CN"/>
        </w:rPr>
      </w:pPr>
    </w:p>
    <w:p>
      <w:pPr>
        <w:adjustRightInd w:val="0"/>
        <w:snapToGrid w:val="0"/>
        <w:spacing w:line="580" w:lineRule="exact"/>
        <w:ind w:firstLine="560" w:firstLineChars="200"/>
        <w:rPr>
          <w:rFonts w:ascii="仿宋_GB2312" w:hAnsi="宋体"/>
          <w:sz w:val="28"/>
          <w:lang w:val="zh-CN"/>
        </w:rPr>
      </w:pPr>
    </w:p>
    <w:p>
      <w:pPr>
        <w:adjustRightInd w:val="0"/>
        <w:snapToGrid w:val="0"/>
        <w:spacing w:line="580" w:lineRule="exact"/>
        <w:ind w:firstLine="560" w:firstLineChars="200"/>
        <w:jc w:val="right"/>
        <w:rPr>
          <w:rFonts w:hint="eastAsia" w:asciiTheme="minorEastAsia" w:hAnsiTheme="minorEastAsia" w:eastAsiaTheme="minorEastAsia" w:cstheme="minorEastAsia"/>
          <w:sz w:val="28"/>
          <w:lang w:val="en-US" w:eastAsia="zh-CN"/>
        </w:rPr>
      </w:pPr>
      <w:r>
        <w:rPr>
          <w:rFonts w:hint="eastAsia" w:asciiTheme="minorEastAsia" w:hAnsiTheme="minorEastAsia" w:eastAsiaTheme="minorEastAsia" w:cstheme="minorEastAsia"/>
          <w:sz w:val="28"/>
          <w:lang w:val="en-US" w:eastAsia="zh-CN"/>
        </w:rPr>
        <w:t>2024年1月8日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DD7EDAB-1BD8-4DAA-8C12-34B53A2FF88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40525097-CCF8-443A-B98C-64F2FD75CB93}"/>
  </w:font>
  <w:font w:name="仿宋_GB2312">
    <w:panose1 w:val="02010609030101010101"/>
    <w:charset w:val="86"/>
    <w:family w:val="modern"/>
    <w:pitch w:val="default"/>
    <w:sig w:usb0="00000001" w:usb1="080E0000" w:usb2="00000000" w:usb3="00000000" w:csb0="00040000" w:csb1="00000000"/>
    <w:embedRegular r:id="rId3" w:fontKey="{C74D6244-0BAD-432D-A64B-CAE1008919B8}"/>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4" w:fontKey="{9C3E6421-C802-4112-ADAD-518F479FD013}"/>
  </w:font>
  <w:font w:name="楷体_GB2312">
    <w:altName w:val="楷体"/>
    <w:panose1 w:val="00000000000000000000"/>
    <w:charset w:val="86"/>
    <w:family w:val="modern"/>
    <w:pitch w:val="default"/>
    <w:sig w:usb0="00000000" w:usb1="00000000" w:usb2="00000010" w:usb3="00000000" w:csb0="00040000" w:csb1="00000000"/>
    <w:embedRegular r:id="rId5" w:fontKey="{1D25A8D3-B013-457E-A7C4-64644D5E766F}"/>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1A205E"/>
    <w:multiLevelType w:val="singleLevel"/>
    <w:tmpl w:val="771A205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UyYzIzYmE3M2ZiMzQ2NzQwZTY1ZGI5ZjM5NDFlMWQifQ=="/>
  </w:docVars>
  <w:rsids>
    <w:rsidRoot w:val="00FD3EFA"/>
    <w:rsid w:val="001C6BC6"/>
    <w:rsid w:val="00277C71"/>
    <w:rsid w:val="00291918"/>
    <w:rsid w:val="002E7D7A"/>
    <w:rsid w:val="00392056"/>
    <w:rsid w:val="00427240"/>
    <w:rsid w:val="00441B51"/>
    <w:rsid w:val="00513487"/>
    <w:rsid w:val="00516306"/>
    <w:rsid w:val="00543D64"/>
    <w:rsid w:val="00572F4E"/>
    <w:rsid w:val="005842A2"/>
    <w:rsid w:val="005A143E"/>
    <w:rsid w:val="00850AB0"/>
    <w:rsid w:val="008F6FBC"/>
    <w:rsid w:val="008F788A"/>
    <w:rsid w:val="009464FC"/>
    <w:rsid w:val="00A25407"/>
    <w:rsid w:val="00A36A47"/>
    <w:rsid w:val="00AB1E4A"/>
    <w:rsid w:val="00AC3975"/>
    <w:rsid w:val="00D7099B"/>
    <w:rsid w:val="00E10AB9"/>
    <w:rsid w:val="00E4357F"/>
    <w:rsid w:val="00E53945"/>
    <w:rsid w:val="00E90284"/>
    <w:rsid w:val="00F251E9"/>
    <w:rsid w:val="00F43CA3"/>
    <w:rsid w:val="00F67C8D"/>
    <w:rsid w:val="00F951B3"/>
    <w:rsid w:val="00FD3EFA"/>
    <w:rsid w:val="00FD62E7"/>
    <w:rsid w:val="0D2B685D"/>
    <w:rsid w:val="0FED7A66"/>
    <w:rsid w:val="335D61E9"/>
    <w:rsid w:val="524577C7"/>
    <w:rsid w:val="58273246"/>
    <w:rsid w:val="6D957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0"/>
    <w:pPr>
      <w:ind w:firstLine="420" w:firstLineChars="200"/>
    </w:pPr>
    <w:rPr>
      <w:rFonts w:asciiTheme="minorHAnsi" w:hAnsiTheme="minorHAnsi" w:eastAsiaTheme="minorEastAsia" w:cstheme="minorBidi"/>
      <w:sz w:val="21"/>
      <w:szCs w:val="24"/>
    </w:rPr>
  </w:style>
  <w:style w:type="paragraph" w:styleId="3">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autoRedefine/>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autoRedefine/>
    <w:uiPriority w:val="99"/>
    <w:rPr>
      <w:sz w:val="18"/>
      <w:szCs w:val="18"/>
    </w:rPr>
  </w:style>
  <w:style w:type="character" w:customStyle="1" w:styleId="8">
    <w:name w:val="页脚 Char"/>
    <w:basedOn w:val="6"/>
    <w:link w:val="3"/>
    <w:autoRedefine/>
    <w:qFormat/>
    <w:uiPriority w:val="99"/>
    <w:rPr>
      <w:sz w:val="18"/>
      <w:szCs w:val="18"/>
    </w:rPr>
  </w:style>
  <w:style w:type="paragraph" w:customStyle="1" w:styleId="9">
    <w:name w:val="四号正文"/>
    <w:basedOn w:val="1"/>
    <w:link w:val="10"/>
    <w:autoRedefine/>
    <w:qFormat/>
    <w:uiPriority w:val="99"/>
    <w:pPr>
      <w:spacing w:line="360" w:lineRule="auto"/>
    </w:pPr>
    <w:rPr>
      <w:rFonts w:ascii="??" w:hAnsi="??" w:eastAsia="宋体"/>
      <w:color w:val="000000"/>
      <w:kern w:val="0"/>
      <w:sz w:val="28"/>
      <w:szCs w:val="21"/>
    </w:rPr>
  </w:style>
  <w:style w:type="character" w:customStyle="1" w:styleId="10">
    <w:name w:val="四号正文 Char"/>
    <w:link w:val="9"/>
    <w:autoRedefine/>
    <w:qFormat/>
    <w:locked/>
    <w:uiPriority w:val="99"/>
    <w:rPr>
      <w:rFonts w:ascii="??" w:hAnsi="??" w:eastAsia="宋体" w:cs="Times New Roman"/>
      <w:color w:val="000000"/>
      <w:kern w:val="0"/>
      <w:sz w:val="28"/>
      <w:szCs w:val="21"/>
    </w:rPr>
  </w:style>
  <w:style w:type="paragraph" w:styleId="11">
    <w:name w:val="List Paragraph"/>
    <w:basedOn w:val="1"/>
    <w:autoRedefine/>
    <w:qFormat/>
    <w:uiPriority w:val="34"/>
    <w:pPr>
      <w:ind w:firstLine="420" w:firstLineChars="200"/>
    </w:pPr>
    <w:rPr>
      <w:rFonts w:asciiTheme="minorHAnsi" w:hAnsiTheme="minorHAnsi" w:eastAsiaTheme="minorEastAsia" w:cstheme="minorBidi"/>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543</Words>
  <Characters>3096</Characters>
  <Lines>25</Lines>
  <Paragraphs>7</Paragraphs>
  <TotalTime>2</TotalTime>
  <ScaleCrop>false</ScaleCrop>
  <LinksUpToDate>false</LinksUpToDate>
  <CharactersWithSpaces>3632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2024-01-08T02:37:00Z</dcterms:created>
  <dc:creator>opi</dc:creator>
  <cp:lastModifiedBy>幻</cp:lastModifiedBy>
  <dcterms:modified xsi:type="dcterms:W3CDTF">2024-01-15T07:23:29Z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2778A78C600A4421832120ECE58CA854_12</vt:lpwstr>
  </property>
</Properties>
</file>