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130276">
      <w:pPr>
        <w:autoSpaceDE w:val="0"/>
        <w:autoSpaceDN w:val="0"/>
        <w:adjustRightInd w:val="0"/>
        <w:spacing w:before="156" w:after="156"/>
        <w:ind w:firstLine="720"/>
        <w:jc w:val="center"/>
        <w:rPr>
          <w:rFonts w:ascii="方正小标宋_GBK" w:hAnsi="方正小标宋_GBK" w:eastAsia="方正小标宋_GBK"/>
          <w:sz w:val="36"/>
          <w:szCs w:val="36"/>
        </w:rPr>
      </w:pPr>
      <w:bookmarkStart w:id="0" w:name="_Hlk77343577"/>
      <w:bookmarkEnd w:id="0"/>
      <w:bookmarkStart w:id="1" w:name="_Toc72741473"/>
      <w:bookmarkStart w:id="73" w:name="_GoBack"/>
      <w:bookmarkEnd w:id="73"/>
    </w:p>
    <w:p w14:paraId="11522F27">
      <w:pPr>
        <w:autoSpaceDE w:val="0"/>
        <w:autoSpaceDN w:val="0"/>
        <w:adjustRightInd w:val="0"/>
        <w:spacing w:before="156" w:after="156"/>
        <w:ind w:firstLine="720"/>
        <w:jc w:val="center"/>
        <w:rPr>
          <w:rFonts w:ascii="方正小标宋_GBK" w:hAnsi="方正小标宋_GBK" w:eastAsia="方正小标宋_GBK"/>
          <w:sz w:val="36"/>
          <w:szCs w:val="36"/>
        </w:rPr>
      </w:pPr>
    </w:p>
    <w:p w14:paraId="18E7AD2F">
      <w:pPr>
        <w:autoSpaceDE w:val="0"/>
        <w:autoSpaceDN w:val="0"/>
        <w:adjustRightInd w:val="0"/>
        <w:spacing w:before="156" w:after="156"/>
        <w:ind w:firstLine="0" w:firstLineChars="0"/>
        <w:jc w:val="center"/>
        <w:rPr>
          <w:rFonts w:ascii="方正小标宋_GBK" w:hAnsi="方正小标宋_GBK" w:eastAsia="方正小标宋_GBK"/>
          <w:sz w:val="36"/>
          <w:szCs w:val="36"/>
        </w:rPr>
      </w:pPr>
    </w:p>
    <w:p w14:paraId="0AEB9887">
      <w:pPr>
        <w:autoSpaceDE w:val="0"/>
        <w:autoSpaceDN w:val="0"/>
        <w:adjustRightInd w:val="0"/>
        <w:spacing w:before="156" w:after="156"/>
        <w:ind w:firstLine="0" w:firstLineChars="0"/>
        <w:jc w:val="center"/>
        <w:rPr>
          <w:rFonts w:ascii="方正小标宋_GBK" w:hAnsi="方正小标宋_GBK" w:eastAsia="方正小标宋_GBK"/>
          <w:sz w:val="44"/>
          <w:szCs w:val="44"/>
        </w:rPr>
      </w:pPr>
      <w:r>
        <w:rPr>
          <w:rFonts w:hint="eastAsia" w:ascii="方正小标宋_GBK" w:hAnsi="方正小标宋_GBK" w:eastAsia="方正小标宋_GBK"/>
          <w:sz w:val="44"/>
          <w:szCs w:val="44"/>
        </w:rPr>
        <w:t>绵竹市</w:t>
      </w:r>
      <w:r>
        <w:rPr>
          <w:rFonts w:ascii="方正小标宋_GBK" w:hAnsi="方正小标宋_GBK" w:eastAsia="方正小标宋_GBK"/>
          <w:sz w:val="44"/>
          <w:szCs w:val="44"/>
        </w:rPr>
        <w:t>2020年</w:t>
      </w:r>
      <w:r>
        <w:rPr>
          <w:rFonts w:hint="eastAsia" w:ascii="方正小标宋_GBK" w:hAnsi="方正小标宋_GBK" w:eastAsia="方正小标宋_GBK"/>
          <w:sz w:val="44"/>
          <w:szCs w:val="44"/>
        </w:rPr>
        <w:t>自然资源和规划局</w:t>
      </w:r>
    </w:p>
    <w:p w14:paraId="0B472C38">
      <w:pPr>
        <w:autoSpaceDE w:val="0"/>
        <w:autoSpaceDN w:val="0"/>
        <w:adjustRightInd w:val="0"/>
        <w:ind w:firstLine="0" w:firstLineChars="0"/>
        <w:jc w:val="center"/>
        <w:rPr>
          <w:rFonts w:ascii="方正小标宋_GBK" w:hAnsi="方正小标宋_GBK" w:eastAsia="方正小标宋_GBK"/>
          <w:sz w:val="44"/>
          <w:szCs w:val="44"/>
        </w:rPr>
      </w:pPr>
      <w:r>
        <w:rPr>
          <w:rFonts w:hint="eastAsia" w:ascii="方正小标宋_GBK" w:hAnsi="方正小标宋_GBK" w:eastAsia="方正小标宋_GBK"/>
          <w:sz w:val="44"/>
          <w:szCs w:val="44"/>
        </w:rPr>
        <w:t>部门整体支出绩效评价报告</w:t>
      </w:r>
    </w:p>
    <w:p w14:paraId="44780429">
      <w:pPr>
        <w:autoSpaceDE w:val="0"/>
        <w:autoSpaceDN w:val="0"/>
        <w:adjustRightInd w:val="0"/>
        <w:spacing w:before="156" w:beforeLines="50" w:after="156" w:afterLines="50" w:line="360" w:lineRule="auto"/>
        <w:ind w:firstLine="720"/>
        <w:jc w:val="center"/>
        <w:rPr>
          <w:rFonts w:ascii="方正小标宋_GBK" w:hAnsi="方正小标宋_GBK" w:eastAsia="方正小标宋_GBK"/>
          <w:sz w:val="36"/>
          <w:szCs w:val="36"/>
        </w:rPr>
      </w:pPr>
    </w:p>
    <w:p w14:paraId="4B446BFD">
      <w:pPr>
        <w:autoSpaceDE w:val="0"/>
        <w:autoSpaceDN w:val="0"/>
        <w:adjustRightInd w:val="0"/>
        <w:spacing w:before="156" w:beforeLines="50" w:after="156" w:afterLines="50" w:line="360" w:lineRule="auto"/>
        <w:ind w:firstLine="720"/>
        <w:jc w:val="center"/>
        <w:rPr>
          <w:rFonts w:ascii="方正小标宋_GBK" w:hAnsi="方正小标宋_GBK" w:eastAsia="方正小标宋_GBK"/>
          <w:sz w:val="36"/>
          <w:szCs w:val="36"/>
        </w:rPr>
      </w:pPr>
    </w:p>
    <w:p w14:paraId="1AEFB39C">
      <w:pPr>
        <w:autoSpaceDE w:val="0"/>
        <w:autoSpaceDN w:val="0"/>
        <w:adjustRightInd w:val="0"/>
        <w:spacing w:before="156" w:beforeLines="50" w:after="156" w:afterLines="50" w:line="360" w:lineRule="auto"/>
        <w:ind w:firstLine="720"/>
        <w:jc w:val="center"/>
        <w:rPr>
          <w:rFonts w:ascii="方正小标宋_GBK" w:hAnsi="方正小标宋_GBK" w:eastAsia="方正小标宋_GBK"/>
          <w:sz w:val="36"/>
          <w:szCs w:val="36"/>
        </w:rPr>
      </w:pPr>
    </w:p>
    <w:p w14:paraId="78CA3452">
      <w:pPr>
        <w:autoSpaceDE w:val="0"/>
        <w:autoSpaceDN w:val="0"/>
        <w:adjustRightInd w:val="0"/>
        <w:spacing w:before="156" w:beforeLines="50" w:after="156" w:afterLines="50" w:line="360" w:lineRule="auto"/>
        <w:ind w:firstLine="720"/>
        <w:jc w:val="center"/>
        <w:rPr>
          <w:rFonts w:ascii="方正小标宋_GBK" w:hAnsi="方正小标宋_GBK" w:eastAsia="方正小标宋_GBK"/>
          <w:sz w:val="36"/>
          <w:szCs w:val="36"/>
        </w:rPr>
      </w:pPr>
    </w:p>
    <w:p w14:paraId="00462707">
      <w:pPr>
        <w:autoSpaceDE w:val="0"/>
        <w:autoSpaceDN w:val="0"/>
        <w:adjustRightInd w:val="0"/>
        <w:spacing w:before="156" w:beforeLines="50" w:after="156" w:afterLines="50" w:line="360" w:lineRule="auto"/>
        <w:ind w:firstLine="720"/>
        <w:jc w:val="center"/>
        <w:rPr>
          <w:rFonts w:ascii="方正小标宋_GBK" w:hAnsi="方正小标宋_GBK" w:eastAsia="方正小标宋_GBK"/>
          <w:sz w:val="36"/>
          <w:szCs w:val="36"/>
        </w:rPr>
      </w:pPr>
    </w:p>
    <w:p w14:paraId="1E53E720">
      <w:pPr>
        <w:autoSpaceDE w:val="0"/>
        <w:autoSpaceDN w:val="0"/>
        <w:adjustRightInd w:val="0"/>
        <w:spacing w:before="156" w:beforeLines="50" w:after="156" w:afterLines="50" w:line="360" w:lineRule="auto"/>
        <w:ind w:firstLine="720"/>
        <w:jc w:val="center"/>
        <w:rPr>
          <w:rFonts w:ascii="方正小标宋_GBK" w:hAnsi="方正小标宋_GBK" w:eastAsia="方正小标宋_GBK"/>
          <w:sz w:val="36"/>
          <w:szCs w:val="36"/>
        </w:rPr>
      </w:pPr>
    </w:p>
    <w:p w14:paraId="0BC33491">
      <w:pPr>
        <w:spacing w:before="120"/>
        <w:ind w:firstLine="0" w:firstLineChars="0"/>
        <w:rPr>
          <w:rFonts w:ascii="方正小标宋_GBK" w:hAnsi="方正小标宋_GBK" w:eastAsia="方正小标宋_GBK"/>
          <w:sz w:val="36"/>
          <w:szCs w:val="36"/>
        </w:rPr>
      </w:pPr>
    </w:p>
    <w:p w14:paraId="687E5BE2">
      <w:pPr>
        <w:spacing w:before="120"/>
        <w:ind w:firstLine="1827" w:firstLineChars="650"/>
        <w:rPr>
          <w:rFonts w:eastAsia="小标宋" w:cs="Times New Roman"/>
          <w:b/>
          <w:kern w:val="0"/>
          <w:szCs w:val="28"/>
          <w:lang w:val="zh-CN"/>
        </w:rPr>
      </w:pPr>
      <w:r>
        <w:rPr>
          <w:rFonts w:eastAsia="小标宋" w:cs="Times New Roman"/>
          <w:b/>
          <w:kern w:val="0"/>
          <w:szCs w:val="28"/>
          <w:lang w:val="zh-CN"/>
        </w:rPr>
        <w:t>被评单位：绵竹市</w:t>
      </w:r>
      <w:r>
        <w:rPr>
          <w:rFonts w:hint="eastAsia" w:eastAsia="小标宋" w:cs="Times New Roman"/>
          <w:b/>
          <w:kern w:val="0"/>
          <w:szCs w:val="28"/>
          <w:lang w:val="zh-CN"/>
        </w:rPr>
        <w:t>自然资源和规划局</w:t>
      </w:r>
    </w:p>
    <w:p w14:paraId="0693CB16">
      <w:pPr>
        <w:spacing w:before="120"/>
        <w:ind w:left="1680" w:leftChars="600" w:firstLine="141" w:firstLineChars="50"/>
        <w:rPr>
          <w:rFonts w:eastAsia="小标宋" w:cs="Times New Roman"/>
          <w:b/>
          <w:kern w:val="0"/>
          <w:szCs w:val="28"/>
          <w:lang w:val="zh-CN"/>
        </w:rPr>
      </w:pPr>
      <w:r>
        <w:rPr>
          <w:rFonts w:eastAsia="小标宋" w:cs="Times New Roman"/>
          <w:b/>
          <w:kern w:val="0"/>
          <w:szCs w:val="28"/>
          <w:lang w:val="zh-CN"/>
        </w:rPr>
        <w:t>委托单位：绵竹市财政局</w:t>
      </w:r>
    </w:p>
    <w:p w14:paraId="5DA9DC99">
      <w:pPr>
        <w:spacing w:before="120"/>
        <w:ind w:left="1400" w:leftChars="500" w:firstLine="422" w:firstLineChars="150"/>
        <w:jc w:val="left"/>
        <w:rPr>
          <w:rFonts w:eastAsia="小标宋" w:cs="Times New Roman"/>
          <w:b/>
          <w:kern w:val="0"/>
          <w:szCs w:val="28"/>
          <w:lang w:val="zh-CN"/>
        </w:rPr>
      </w:pPr>
      <w:r>
        <w:rPr>
          <w:rFonts w:hint="eastAsia" w:eastAsia="小标宋"/>
          <w:b/>
          <w:lang w:val="zh-CN"/>
        </w:rPr>
        <w:t>评价机构：</w:t>
      </w:r>
      <w:r>
        <w:rPr>
          <w:rFonts w:eastAsia="小标宋"/>
          <w:b/>
          <w:lang w:val="zh-CN"/>
        </w:rPr>
        <w:t>北京零点市场调查有限公司</w:t>
      </w:r>
    </w:p>
    <w:p w14:paraId="0F993E03">
      <w:pPr>
        <w:spacing w:before="156" w:after="156"/>
        <w:ind w:firstLine="0" w:firstLineChars="0"/>
        <w:rPr>
          <w:rFonts w:eastAsia="小标宋"/>
          <w:b/>
          <w:lang w:val="zh-CN"/>
        </w:rPr>
      </w:pPr>
    </w:p>
    <w:p w14:paraId="5EFC8A8C">
      <w:pPr>
        <w:spacing w:before="156" w:after="156"/>
        <w:ind w:firstLine="0" w:firstLineChars="0"/>
        <w:jc w:val="center"/>
        <w:rPr>
          <w:rFonts w:eastAsia="小标宋"/>
          <w:b/>
          <w:lang w:val="zh-CN"/>
        </w:rPr>
      </w:pPr>
      <w:r>
        <w:rPr>
          <w:rFonts w:eastAsia="小标宋"/>
          <w:b/>
          <w:lang w:val="zh-CN"/>
        </w:rPr>
        <w:t>2021年6月30日</w:t>
      </w:r>
    </w:p>
    <w:bookmarkEnd w:id="1"/>
    <w:p w14:paraId="195C0DDB">
      <w:pPr>
        <w:ind w:firstLine="560"/>
      </w:pPr>
    </w:p>
    <w:p w14:paraId="3C18A6C5">
      <w:pPr>
        <w:widowControl/>
        <w:spacing w:line="240" w:lineRule="auto"/>
        <w:ind w:firstLine="0" w:firstLineChars="0"/>
        <w:jc w:val="left"/>
        <w:rPr>
          <w:rFonts w:eastAsia="仿宋_GB2312" w:cs="Times New Roman"/>
          <w:sz w:val="32"/>
          <w:szCs w:val="24"/>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NumType w:start="0"/>
          <w:cols w:space="425" w:num="1"/>
          <w:docGrid w:type="lines" w:linePitch="312" w:charSpace="0"/>
        </w:sectPr>
      </w:pPr>
      <w:r>
        <w:rPr>
          <w:rFonts w:eastAsia="仿宋_GB2312" w:cs="Times New Roman"/>
          <w:sz w:val="32"/>
          <w:szCs w:val="24"/>
        </w:rPr>
        <w:br w:type="page"/>
      </w:r>
    </w:p>
    <w:sdt>
      <w:sdtPr>
        <w:rPr>
          <w:rFonts w:ascii="Times New Roman" w:hAnsi="Times New Roman" w:eastAsia="楷体" w:cstheme="minorBidi"/>
          <w:color w:val="auto"/>
          <w:kern w:val="2"/>
          <w:sz w:val="28"/>
          <w:szCs w:val="22"/>
          <w:lang w:val="zh-CN"/>
        </w:rPr>
        <w:id w:val="2080700536"/>
        <w:docPartObj>
          <w:docPartGallery w:val="Table of Contents"/>
          <w:docPartUnique/>
        </w:docPartObj>
      </w:sdtPr>
      <w:sdtEndPr>
        <w:rPr>
          <w:rFonts w:ascii="Times New Roman" w:hAnsi="Times New Roman" w:eastAsia="楷体" w:cs="Times New Roman"/>
          <w:b/>
          <w:bCs/>
          <w:color w:val="auto"/>
          <w:kern w:val="2"/>
          <w:sz w:val="28"/>
          <w:szCs w:val="22"/>
          <w:lang w:val="zh-CN"/>
        </w:rPr>
      </w:sdtEndPr>
      <w:sdtContent>
        <w:p w14:paraId="4DB636A2">
          <w:pPr>
            <w:pStyle w:val="39"/>
            <w:jc w:val="center"/>
            <w:rPr>
              <w:rFonts w:ascii="黑体" w:hAnsi="黑体" w:eastAsia="黑体" w:cs="Times New Roman"/>
              <w:color w:val="auto"/>
            </w:rPr>
          </w:pPr>
          <w:r>
            <w:rPr>
              <w:rFonts w:ascii="黑体" w:hAnsi="黑体" w:eastAsia="黑体" w:cs="Times New Roman"/>
              <w:color w:val="auto"/>
            </w:rPr>
            <w:t>目录</w:t>
          </w:r>
        </w:p>
        <w:p w14:paraId="625AB3E6">
          <w:pPr>
            <w:pStyle w:val="14"/>
            <w:ind w:firstLine="0" w:firstLineChars="0"/>
            <w:rPr>
              <w:rFonts w:ascii="Times New Roman" w:eastAsia="宋体" w:cs="Times New Roman"/>
              <w:sz w:val="24"/>
              <w:szCs w:val="24"/>
            </w:rPr>
          </w:pPr>
          <w:r>
            <w:rPr>
              <w:rFonts w:ascii="Times New Roman" w:cs="Times New Roman"/>
            </w:rPr>
            <w:fldChar w:fldCharType="begin"/>
          </w:r>
          <w:r>
            <w:rPr>
              <w:rFonts w:ascii="Times New Roman" w:cs="Times New Roman"/>
            </w:rPr>
            <w:instrText xml:space="preserve"> TOC \o "1-3" \h \z \u </w:instrText>
          </w:r>
          <w:r>
            <w:rPr>
              <w:rFonts w:ascii="Times New Roman" w:cs="Times New Roman"/>
            </w:rPr>
            <w:fldChar w:fldCharType="separate"/>
          </w:r>
          <w:r>
            <w:fldChar w:fldCharType="begin"/>
          </w:r>
          <w:r>
            <w:instrText xml:space="preserve"> HYPERLINK \l "_Toc77784230" </w:instrText>
          </w:r>
          <w:r>
            <w:fldChar w:fldCharType="separate"/>
          </w:r>
          <w:r>
            <w:rPr>
              <w:rStyle w:val="25"/>
              <w:rFonts w:ascii="Times New Roman" w:eastAsia="宋体" w:cs="Times New Roman"/>
              <w:sz w:val="24"/>
              <w:szCs w:val="24"/>
            </w:rPr>
            <w:t>一、部门概况</w:t>
          </w:r>
          <w:r>
            <w:rPr>
              <w:rFonts w:ascii="Times New Roman" w:eastAsia="宋体" w:cs="Times New Roman"/>
              <w:sz w:val="24"/>
              <w:szCs w:val="24"/>
            </w:rPr>
            <w:tab/>
          </w:r>
          <w:r>
            <w:rPr>
              <w:rFonts w:ascii="Times New Roman" w:eastAsia="宋体" w:cs="Times New Roman"/>
              <w:sz w:val="24"/>
              <w:szCs w:val="24"/>
            </w:rPr>
            <w:fldChar w:fldCharType="begin"/>
          </w:r>
          <w:r>
            <w:rPr>
              <w:rFonts w:ascii="Times New Roman" w:eastAsia="宋体" w:cs="Times New Roman"/>
              <w:sz w:val="24"/>
              <w:szCs w:val="24"/>
            </w:rPr>
            <w:instrText xml:space="preserve"> PAGEREF _Toc77784230 \h </w:instrText>
          </w:r>
          <w:r>
            <w:rPr>
              <w:rFonts w:ascii="Times New Roman" w:eastAsia="宋体" w:cs="Times New Roman"/>
              <w:sz w:val="24"/>
              <w:szCs w:val="24"/>
            </w:rPr>
            <w:fldChar w:fldCharType="separate"/>
          </w:r>
          <w:r>
            <w:rPr>
              <w:rFonts w:ascii="Times New Roman" w:eastAsia="宋体" w:cs="Times New Roman"/>
              <w:sz w:val="24"/>
              <w:szCs w:val="24"/>
            </w:rPr>
            <w:t>1</w:t>
          </w:r>
          <w:r>
            <w:rPr>
              <w:rFonts w:ascii="Times New Roman" w:eastAsia="宋体" w:cs="Times New Roman"/>
              <w:sz w:val="24"/>
              <w:szCs w:val="24"/>
            </w:rPr>
            <w:fldChar w:fldCharType="end"/>
          </w:r>
          <w:r>
            <w:rPr>
              <w:rFonts w:ascii="Times New Roman" w:eastAsia="宋体" w:cs="Times New Roman"/>
              <w:sz w:val="24"/>
              <w:szCs w:val="24"/>
            </w:rPr>
            <w:fldChar w:fldCharType="end"/>
          </w:r>
        </w:p>
        <w:p w14:paraId="4CB47098">
          <w:pPr>
            <w:pStyle w:val="18"/>
            <w:tabs>
              <w:tab w:val="right" w:leader="dot" w:pos="8296"/>
            </w:tabs>
            <w:spacing w:line="480" w:lineRule="exact"/>
            <w:ind w:firstLine="0" w:firstLineChars="0"/>
            <w:rPr>
              <w:rFonts w:ascii="Times New Roman" w:eastAsia="宋体" w:cs="Times New Roman"/>
              <w:smallCaps w:val="0"/>
              <w:sz w:val="24"/>
              <w:szCs w:val="24"/>
            </w:rPr>
          </w:pPr>
          <w:r>
            <w:fldChar w:fldCharType="begin"/>
          </w:r>
          <w:r>
            <w:instrText xml:space="preserve"> HYPERLINK \l "_Toc77784231" </w:instrText>
          </w:r>
          <w:r>
            <w:fldChar w:fldCharType="separate"/>
          </w:r>
          <w:r>
            <w:rPr>
              <w:rStyle w:val="25"/>
              <w:rFonts w:ascii="Times New Roman" w:eastAsia="宋体" w:cs="Times New Roman"/>
              <w:sz w:val="24"/>
              <w:szCs w:val="24"/>
            </w:rPr>
            <w:t>（一）部门设立背景及职能变革</w:t>
          </w:r>
          <w:r>
            <w:rPr>
              <w:rFonts w:ascii="Times New Roman" w:eastAsia="宋体" w:cs="Times New Roman"/>
              <w:sz w:val="24"/>
              <w:szCs w:val="24"/>
            </w:rPr>
            <w:tab/>
          </w:r>
          <w:r>
            <w:rPr>
              <w:rFonts w:ascii="Times New Roman" w:eastAsia="宋体" w:cs="Times New Roman"/>
              <w:sz w:val="24"/>
              <w:szCs w:val="24"/>
            </w:rPr>
            <w:fldChar w:fldCharType="begin"/>
          </w:r>
          <w:r>
            <w:rPr>
              <w:rFonts w:ascii="Times New Roman" w:eastAsia="宋体" w:cs="Times New Roman"/>
              <w:sz w:val="24"/>
              <w:szCs w:val="24"/>
            </w:rPr>
            <w:instrText xml:space="preserve"> PAGEREF _Toc77784231 \h </w:instrText>
          </w:r>
          <w:r>
            <w:rPr>
              <w:rFonts w:ascii="Times New Roman" w:eastAsia="宋体" w:cs="Times New Roman"/>
              <w:sz w:val="24"/>
              <w:szCs w:val="24"/>
            </w:rPr>
            <w:fldChar w:fldCharType="separate"/>
          </w:r>
          <w:r>
            <w:rPr>
              <w:rFonts w:ascii="Times New Roman" w:eastAsia="宋体" w:cs="Times New Roman"/>
              <w:sz w:val="24"/>
              <w:szCs w:val="24"/>
            </w:rPr>
            <w:t>1</w:t>
          </w:r>
          <w:r>
            <w:rPr>
              <w:rFonts w:ascii="Times New Roman" w:eastAsia="宋体" w:cs="Times New Roman"/>
              <w:sz w:val="24"/>
              <w:szCs w:val="24"/>
            </w:rPr>
            <w:fldChar w:fldCharType="end"/>
          </w:r>
          <w:r>
            <w:rPr>
              <w:rFonts w:ascii="Times New Roman" w:eastAsia="宋体" w:cs="Times New Roman"/>
              <w:sz w:val="24"/>
              <w:szCs w:val="24"/>
            </w:rPr>
            <w:fldChar w:fldCharType="end"/>
          </w:r>
        </w:p>
        <w:p w14:paraId="41506297">
          <w:pPr>
            <w:pStyle w:val="18"/>
            <w:tabs>
              <w:tab w:val="right" w:leader="dot" w:pos="8296"/>
            </w:tabs>
            <w:spacing w:line="480" w:lineRule="exact"/>
            <w:ind w:firstLine="0" w:firstLineChars="0"/>
            <w:rPr>
              <w:rFonts w:ascii="Times New Roman" w:eastAsia="宋体" w:cs="Times New Roman"/>
              <w:smallCaps w:val="0"/>
              <w:sz w:val="24"/>
              <w:szCs w:val="24"/>
            </w:rPr>
          </w:pPr>
          <w:r>
            <w:fldChar w:fldCharType="begin"/>
          </w:r>
          <w:r>
            <w:instrText xml:space="preserve"> HYPERLINK \l "_Toc77784232" </w:instrText>
          </w:r>
          <w:r>
            <w:fldChar w:fldCharType="separate"/>
          </w:r>
          <w:r>
            <w:rPr>
              <w:rStyle w:val="25"/>
              <w:rFonts w:ascii="Times New Roman" w:eastAsia="宋体" w:cs="Times New Roman"/>
              <w:sz w:val="24"/>
              <w:szCs w:val="24"/>
            </w:rPr>
            <w:t>（二）部门机构设置</w:t>
          </w:r>
          <w:r>
            <w:rPr>
              <w:rFonts w:ascii="Times New Roman" w:eastAsia="宋体" w:cs="Times New Roman"/>
              <w:sz w:val="24"/>
              <w:szCs w:val="24"/>
            </w:rPr>
            <w:tab/>
          </w:r>
          <w:r>
            <w:rPr>
              <w:rFonts w:ascii="Times New Roman" w:eastAsia="宋体" w:cs="Times New Roman"/>
              <w:sz w:val="24"/>
              <w:szCs w:val="24"/>
            </w:rPr>
            <w:fldChar w:fldCharType="begin"/>
          </w:r>
          <w:r>
            <w:rPr>
              <w:rFonts w:ascii="Times New Roman" w:eastAsia="宋体" w:cs="Times New Roman"/>
              <w:sz w:val="24"/>
              <w:szCs w:val="24"/>
            </w:rPr>
            <w:instrText xml:space="preserve"> PAGEREF _Toc77784232 \h </w:instrText>
          </w:r>
          <w:r>
            <w:rPr>
              <w:rFonts w:ascii="Times New Roman" w:eastAsia="宋体" w:cs="Times New Roman"/>
              <w:sz w:val="24"/>
              <w:szCs w:val="24"/>
            </w:rPr>
            <w:fldChar w:fldCharType="separate"/>
          </w:r>
          <w:r>
            <w:rPr>
              <w:rFonts w:ascii="Times New Roman" w:eastAsia="宋体" w:cs="Times New Roman"/>
              <w:sz w:val="24"/>
              <w:szCs w:val="24"/>
            </w:rPr>
            <w:t>1</w:t>
          </w:r>
          <w:r>
            <w:rPr>
              <w:rFonts w:ascii="Times New Roman" w:eastAsia="宋体" w:cs="Times New Roman"/>
              <w:sz w:val="24"/>
              <w:szCs w:val="24"/>
            </w:rPr>
            <w:fldChar w:fldCharType="end"/>
          </w:r>
          <w:r>
            <w:rPr>
              <w:rFonts w:ascii="Times New Roman" w:eastAsia="宋体" w:cs="Times New Roman"/>
              <w:sz w:val="24"/>
              <w:szCs w:val="24"/>
            </w:rPr>
            <w:fldChar w:fldCharType="end"/>
          </w:r>
        </w:p>
        <w:p w14:paraId="43E31FDC">
          <w:pPr>
            <w:pStyle w:val="8"/>
            <w:tabs>
              <w:tab w:val="right" w:leader="dot" w:pos="8296"/>
            </w:tabs>
            <w:spacing w:line="480" w:lineRule="exact"/>
            <w:ind w:firstLine="0" w:firstLineChars="0"/>
            <w:rPr>
              <w:rFonts w:ascii="Times New Roman" w:eastAsia="宋体" w:cs="Times New Roman"/>
              <w:i w:val="0"/>
              <w:iCs w:val="0"/>
              <w:sz w:val="24"/>
              <w:szCs w:val="24"/>
            </w:rPr>
          </w:pPr>
          <w:r>
            <w:fldChar w:fldCharType="begin"/>
          </w:r>
          <w:r>
            <w:instrText xml:space="preserve"> HYPERLINK \l "_Toc77784233" </w:instrText>
          </w:r>
          <w:r>
            <w:fldChar w:fldCharType="separate"/>
          </w:r>
          <w:r>
            <w:rPr>
              <w:rStyle w:val="25"/>
              <w:rFonts w:ascii="Times New Roman" w:eastAsia="宋体" w:cs="Times New Roman"/>
              <w:i w:val="0"/>
              <w:iCs w:val="0"/>
              <w:sz w:val="24"/>
              <w:szCs w:val="24"/>
            </w:rPr>
            <w:t>1.部门主要职责</w:t>
          </w:r>
          <w:r>
            <w:rPr>
              <w:rFonts w:ascii="Times New Roman" w:eastAsia="宋体" w:cs="Times New Roman"/>
              <w:i w:val="0"/>
              <w:iCs w:val="0"/>
              <w:sz w:val="24"/>
              <w:szCs w:val="24"/>
            </w:rPr>
            <w:tab/>
          </w:r>
          <w:r>
            <w:rPr>
              <w:rFonts w:ascii="Times New Roman" w:eastAsia="宋体" w:cs="Times New Roman"/>
              <w:i w:val="0"/>
              <w:iCs w:val="0"/>
              <w:sz w:val="24"/>
              <w:szCs w:val="24"/>
            </w:rPr>
            <w:fldChar w:fldCharType="begin"/>
          </w:r>
          <w:r>
            <w:rPr>
              <w:rFonts w:ascii="Times New Roman" w:eastAsia="宋体" w:cs="Times New Roman"/>
              <w:i w:val="0"/>
              <w:iCs w:val="0"/>
              <w:sz w:val="24"/>
              <w:szCs w:val="24"/>
            </w:rPr>
            <w:instrText xml:space="preserve"> PAGEREF _Toc77784233 \h </w:instrText>
          </w:r>
          <w:r>
            <w:rPr>
              <w:rFonts w:ascii="Times New Roman" w:eastAsia="宋体" w:cs="Times New Roman"/>
              <w:i w:val="0"/>
              <w:iCs w:val="0"/>
              <w:sz w:val="24"/>
              <w:szCs w:val="24"/>
            </w:rPr>
            <w:fldChar w:fldCharType="separate"/>
          </w:r>
          <w:r>
            <w:rPr>
              <w:rFonts w:ascii="Times New Roman" w:eastAsia="宋体" w:cs="Times New Roman"/>
              <w:i w:val="0"/>
              <w:iCs w:val="0"/>
              <w:sz w:val="24"/>
              <w:szCs w:val="24"/>
            </w:rPr>
            <w:t>1</w:t>
          </w:r>
          <w:r>
            <w:rPr>
              <w:rFonts w:ascii="Times New Roman" w:eastAsia="宋体" w:cs="Times New Roman"/>
              <w:i w:val="0"/>
              <w:iCs w:val="0"/>
              <w:sz w:val="24"/>
              <w:szCs w:val="24"/>
            </w:rPr>
            <w:fldChar w:fldCharType="end"/>
          </w:r>
          <w:r>
            <w:rPr>
              <w:rFonts w:ascii="Times New Roman" w:eastAsia="宋体" w:cs="Times New Roman"/>
              <w:i w:val="0"/>
              <w:iCs w:val="0"/>
              <w:sz w:val="24"/>
              <w:szCs w:val="24"/>
            </w:rPr>
            <w:fldChar w:fldCharType="end"/>
          </w:r>
        </w:p>
        <w:p w14:paraId="7B4A0F10">
          <w:pPr>
            <w:pStyle w:val="8"/>
            <w:tabs>
              <w:tab w:val="right" w:leader="dot" w:pos="8296"/>
            </w:tabs>
            <w:spacing w:line="480" w:lineRule="exact"/>
            <w:ind w:firstLine="0" w:firstLineChars="0"/>
            <w:rPr>
              <w:rFonts w:ascii="Times New Roman" w:eastAsia="宋体" w:cs="Times New Roman"/>
              <w:i w:val="0"/>
              <w:iCs w:val="0"/>
              <w:sz w:val="24"/>
              <w:szCs w:val="24"/>
            </w:rPr>
          </w:pPr>
          <w:r>
            <w:fldChar w:fldCharType="begin"/>
          </w:r>
          <w:r>
            <w:instrText xml:space="preserve"> HYPERLINK \l "_Toc77784234" </w:instrText>
          </w:r>
          <w:r>
            <w:fldChar w:fldCharType="separate"/>
          </w:r>
          <w:r>
            <w:rPr>
              <w:rStyle w:val="25"/>
              <w:rFonts w:ascii="Times New Roman" w:eastAsia="宋体" w:cs="Times New Roman"/>
              <w:i w:val="0"/>
              <w:iCs w:val="0"/>
              <w:sz w:val="24"/>
              <w:szCs w:val="24"/>
            </w:rPr>
            <w:t>2.部门机构组成</w:t>
          </w:r>
          <w:r>
            <w:rPr>
              <w:rFonts w:ascii="Times New Roman" w:eastAsia="宋体" w:cs="Times New Roman"/>
              <w:i w:val="0"/>
              <w:iCs w:val="0"/>
              <w:sz w:val="24"/>
              <w:szCs w:val="24"/>
            </w:rPr>
            <w:tab/>
          </w:r>
          <w:r>
            <w:rPr>
              <w:rFonts w:ascii="Times New Roman" w:eastAsia="宋体" w:cs="Times New Roman"/>
              <w:i w:val="0"/>
              <w:iCs w:val="0"/>
              <w:sz w:val="24"/>
              <w:szCs w:val="24"/>
            </w:rPr>
            <w:fldChar w:fldCharType="begin"/>
          </w:r>
          <w:r>
            <w:rPr>
              <w:rFonts w:ascii="Times New Roman" w:eastAsia="宋体" w:cs="Times New Roman"/>
              <w:i w:val="0"/>
              <w:iCs w:val="0"/>
              <w:sz w:val="24"/>
              <w:szCs w:val="24"/>
            </w:rPr>
            <w:instrText xml:space="preserve"> PAGEREF _Toc77784234 \h </w:instrText>
          </w:r>
          <w:r>
            <w:rPr>
              <w:rFonts w:ascii="Times New Roman" w:eastAsia="宋体" w:cs="Times New Roman"/>
              <w:i w:val="0"/>
              <w:iCs w:val="0"/>
              <w:sz w:val="24"/>
              <w:szCs w:val="24"/>
            </w:rPr>
            <w:fldChar w:fldCharType="separate"/>
          </w:r>
          <w:r>
            <w:rPr>
              <w:rFonts w:ascii="Times New Roman" w:eastAsia="宋体" w:cs="Times New Roman"/>
              <w:i w:val="0"/>
              <w:iCs w:val="0"/>
              <w:sz w:val="24"/>
              <w:szCs w:val="24"/>
            </w:rPr>
            <w:t>4</w:t>
          </w:r>
          <w:r>
            <w:rPr>
              <w:rFonts w:ascii="Times New Roman" w:eastAsia="宋体" w:cs="Times New Roman"/>
              <w:i w:val="0"/>
              <w:iCs w:val="0"/>
              <w:sz w:val="24"/>
              <w:szCs w:val="24"/>
            </w:rPr>
            <w:fldChar w:fldCharType="end"/>
          </w:r>
          <w:r>
            <w:rPr>
              <w:rFonts w:ascii="Times New Roman" w:eastAsia="宋体" w:cs="Times New Roman"/>
              <w:i w:val="0"/>
              <w:iCs w:val="0"/>
              <w:sz w:val="24"/>
              <w:szCs w:val="24"/>
            </w:rPr>
            <w:fldChar w:fldCharType="end"/>
          </w:r>
        </w:p>
        <w:p w14:paraId="6330D857">
          <w:pPr>
            <w:pStyle w:val="8"/>
            <w:tabs>
              <w:tab w:val="right" w:leader="dot" w:pos="8296"/>
            </w:tabs>
            <w:spacing w:line="480" w:lineRule="exact"/>
            <w:ind w:firstLine="0" w:firstLineChars="0"/>
            <w:rPr>
              <w:rFonts w:ascii="Times New Roman" w:eastAsia="宋体" w:cs="Times New Roman"/>
              <w:i w:val="0"/>
              <w:iCs w:val="0"/>
              <w:sz w:val="24"/>
              <w:szCs w:val="24"/>
            </w:rPr>
          </w:pPr>
          <w:r>
            <w:fldChar w:fldCharType="begin"/>
          </w:r>
          <w:r>
            <w:instrText xml:space="preserve"> HYPERLINK \l "_Toc77784235" </w:instrText>
          </w:r>
          <w:r>
            <w:fldChar w:fldCharType="separate"/>
          </w:r>
          <w:r>
            <w:rPr>
              <w:rStyle w:val="25"/>
              <w:rFonts w:ascii="Times New Roman" w:eastAsia="宋体" w:cs="Times New Roman"/>
              <w:i w:val="0"/>
              <w:iCs w:val="0"/>
              <w:sz w:val="24"/>
              <w:szCs w:val="24"/>
            </w:rPr>
            <w:t>3.部门人员结构</w:t>
          </w:r>
          <w:r>
            <w:rPr>
              <w:rFonts w:ascii="Times New Roman" w:eastAsia="宋体" w:cs="Times New Roman"/>
              <w:i w:val="0"/>
              <w:iCs w:val="0"/>
              <w:sz w:val="24"/>
              <w:szCs w:val="24"/>
            </w:rPr>
            <w:tab/>
          </w:r>
          <w:r>
            <w:rPr>
              <w:rFonts w:ascii="Times New Roman" w:eastAsia="宋体" w:cs="Times New Roman"/>
              <w:i w:val="0"/>
              <w:iCs w:val="0"/>
              <w:sz w:val="24"/>
              <w:szCs w:val="24"/>
            </w:rPr>
            <w:fldChar w:fldCharType="begin"/>
          </w:r>
          <w:r>
            <w:rPr>
              <w:rFonts w:ascii="Times New Roman" w:eastAsia="宋体" w:cs="Times New Roman"/>
              <w:i w:val="0"/>
              <w:iCs w:val="0"/>
              <w:sz w:val="24"/>
              <w:szCs w:val="24"/>
            </w:rPr>
            <w:instrText xml:space="preserve"> PAGEREF _Toc77784235 \h </w:instrText>
          </w:r>
          <w:r>
            <w:rPr>
              <w:rFonts w:ascii="Times New Roman" w:eastAsia="宋体" w:cs="Times New Roman"/>
              <w:i w:val="0"/>
              <w:iCs w:val="0"/>
              <w:sz w:val="24"/>
              <w:szCs w:val="24"/>
            </w:rPr>
            <w:fldChar w:fldCharType="separate"/>
          </w:r>
          <w:r>
            <w:rPr>
              <w:rFonts w:ascii="Times New Roman" w:eastAsia="宋体" w:cs="Times New Roman"/>
              <w:i w:val="0"/>
              <w:iCs w:val="0"/>
              <w:sz w:val="24"/>
              <w:szCs w:val="24"/>
            </w:rPr>
            <w:t>5</w:t>
          </w:r>
          <w:r>
            <w:rPr>
              <w:rFonts w:ascii="Times New Roman" w:eastAsia="宋体" w:cs="Times New Roman"/>
              <w:i w:val="0"/>
              <w:iCs w:val="0"/>
              <w:sz w:val="24"/>
              <w:szCs w:val="24"/>
            </w:rPr>
            <w:fldChar w:fldCharType="end"/>
          </w:r>
          <w:r>
            <w:rPr>
              <w:rFonts w:ascii="Times New Roman" w:eastAsia="宋体" w:cs="Times New Roman"/>
              <w:i w:val="0"/>
              <w:iCs w:val="0"/>
              <w:sz w:val="24"/>
              <w:szCs w:val="24"/>
            </w:rPr>
            <w:fldChar w:fldCharType="end"/>
          </w:r>
        </w:p>
        <w:p w14:paraId="63E86170">
          <w:pPr>
            <w:pStyle w:val="18"/>
            <w:tabs>
              <w:tab w:val="right" w:leader="dot" w:pos="8296"/>
            </w:tabs>
            <w:spacing w:line="480" w:lineRule="exact"/>
            <w:ind w:firstLine="0" w:firstLineChars="0"/>
            <w:rPr>
              <w:rFonts w:ascii="Times New Roman" w:eastAsia="宋体" w:cs="Times New Roman"/>
              <w:smallCaps w:val="0"/>
              <w:sz w:val="24"/>
              <w:szCs w:val="24"/>
            </w:rPr>
          </w:pPr>
          <w:r>
            <w:fldChar w:fldCharType="begin"/>
          </w:r>
          <w:r>
            <w:instrText xml:space="preserve"> HYPERLINK \l "_Toc77784236" </w:instrText>
          </w:r>
          <w:r>
            <w:fldChar w:fldCharType="separate"/>
          </w:r>
          <w:r>
            <w:rPr>
              <w:rStyle w:val="25"/>
              <w:rFonts w:ascii="Times New Roman" w:eastAsia="宋体" w:cs="Times New Roman"/>
              <w:sz w:val="24"/>
              <w:szCs w:val="24"/>
            </w:rPr>
            <w:t>（三）年度主要工作目标及重点工作</w:t>
          </w:r>
          <w:r>
            <w:rPr>
              <w:rFonts w:ascii="Times New Roman" w:eastAsia="宋体" w:cs="Times New Roman"/>
              <w:sz w:val="24"/>
              <w:szCs w:val="24"/>
            </w:rPr>
            <w:tab/>
          </w:r>
          <w:r>
            <w:rPr>
              <w:rFonts w:ascii="Times New Roman" w:eastAsia="宋体" w:cs="Times New Roman"/>
              <w:sz w:val="24"/>
              <w:szCs w:val="24"/>
            </w:rPr>
            <w:fldChar w:fldCharType="begin"/>
          </w:r>
          <w:r>
            <w:rPr>
              <w:rFonts w:ascii="Times New Roman" w:eastAsia="宋体" w:cs="Times New Roman"/>
              <w:sz w:val="24"/>
              <w:szCs w:val="24"/>
            </w:rPr>
            <w:instrText xml:space="preserve"> PAGEREF _Toc77784236 \h </w:instrText>
          </w:r>
          <w:r>
            <w:rPr>
              <w:rFonts w:ascii="Times New Roman" w:eastAsia="宋体" w:cs="Times New Roman"/>
              <w:sz w:val="24"/>
              <w:szCs w:val="24"/>
            </w:rPr>
            <w:fldChar w:fldCharType="separate"/>
          </w:r>
          <w:r>
            <w:rPr>
              <w:rFonts w:ascii="Times New Roman" w:eastAsia="宋体" w:cs="Times New Roman"/>
              <w:sz w:val="24"/>
              <w:szCs w:val="24"/>
            </w:rPr>
            <w:t>6</w:t>
          </w:r>
          <w:r>
            <w:rPr>
              <w:rFonts w:ascii="Times New Roman" w:eastAsia="宋体" w:cs="Times New Roman"/>
              <w:sz w:val="24"/>
              <w:szCs w:val="24"/>
            </w:rPr>
            <w:fldChar w:fldCharType="end"/>
          </w:r>
          <w:r>
            <w:rPr>
              <w:rFonts w:ascii="Times New Roman" w:eastAsia="宋体" w:cs="Times New Roman"/>
              <w:sz w:val="24"/>
              <w:szCs w:val="24"/>
            </w:rPr>
            <w:fldChar w:fldCharType="end"/>
          </w:r>
        </w:p>
        <w:p w14:paraId="64EEEBBD">
          <w:pPr>
            <w:pStyle w:val="8"/>
            <w:tabs>
              <w:tab w:val="right" w:leader="dot" w:pos="8296"/>
            </w:tabs>
            <w:spacing w:line="480" w:lineRule="exact"/>
            <w:ind w:firstLine="0" w:firstLineChars="0"/>
            <w:rPr>
              <w:rFonts w:ascii="Times New Roman" w:eastAsia="宋体" w:cs="Times New Roman"/>
              <w:i w:val="0"/>
              <w:iCs w:val="0"/>
              <w:sz w:val="24"/>
              <w:szCs w:val="24"/>
            </w:rPr>
          </w:pPr>
          <w:r>
            <w:fldChar w:fldCharType="begin"/>
          </w:r>
          <w:r>
            <w:instrText xml:space="preserve"> HYPERLINK \l "_Toc77784237" </w:instrText>
          </w:r>
          <w:r>
            <w:fldChar w:fldCharType="separate"/>
          </w:r>
          <w:r>
            <w:rPr>
              <w:rStyle w:val="25"/>
              <w:rFonts w:ascii="Times New Roman" w:eastAsia="宋体" w:cs="Times New Roman"/>
              <w:i w:val="0"/>
              <w:iCs w:val="0"/>
              <w:sz w:val="24"/>
              <w:szCs w:val="24"/>
            </w:rPr>
            <w:t>1.年度主要工作目标</w:t>
          </w:r>
          <w:r>
            <w:rPr>
              <w:rFonts w:ascii="Times New Roman" w:eastAsia="宋体" w:cs="Times New Roman"/>
              <w:i w:val="0"/>
              <w:iCs w:val="0"/>
              <w:sz w:val="24"/>
              <w:szCs w:val="24"/>
            </w:rPr>
            <w:tab/>
          </w:r>
          <w:r>
            <w:rPr>
              <w:rFonts w:ascii="Times New Roman" w:eastAsia="宋体" w:cs="Times New Roman"/>
              <w:i w:val="0"/>
              <w:iCs w:val="0"/>
              <w:sz w:val="24"/>
              <w:szCs w:val="24"/>
            </w:rPr>
            <w:fldChar w:fldCharType="begin"/>
          </w:r>
          <w:r>
            <w:rPr>
              <w:rFonts w:ascii="Times New Roman" w:eastAsia="宋体" w:cs="Times New Roman"/>
              <w:i w:val="0"/>
              <w:iCs w:val="0"/>
              <w:sz w:val="24"/>
              <w:szCs w:val="24"/>
            </w:rPr>
            <w:instrText xml:space="preserve"> PAGEREF _Toc77784237 \h </w:instrText>
          </w:r>
          <w:r>
            <w:rPr>
              <w:rFonts w:ascii="Times New Roman" w:eastAsia="宋体" w:cs="Times New Roman"/>
              <w:i w:val="0"/>
              <w:iCs w:val="0"/>
              <w:sz w:val="24"/>
              <w:szCs w:val="24"/>
            </w:rPr>
            <w:fldChar w:fldCharType="separate"/>
          </w:r>
          <w:r>
            <w:rPr>
              <w:rFonts w:ascii="Times New Roman" w:eastAsia="宋体" w:cs="Times New Roman"/>
              <w:i w:val="0"/>
              <w:iCs w:val="0"/>
              <w:sz w:val="24"/>
              <w:szCs w:val="24"/>
            </w:rPr>
            <w:t>6</w:t>
          </w:r>
          <w:r>
            <w:rPr>
              <w:rFonts w:ascii="Times New Roman" w:eastAsia="宋体" w:cs="Times New Roman"/>
              <w:i w:val="0"/>
              <w:iCs w:val="0"/>
              <w:sz w:val="24"/>
              <w:szCs w:val="24"/>
            </w:rPr>
            <w:fldChar w:fldCharType="end"/>
          </w:r>
          <w:r>
            <w:rPr>
              <w:rFonts w:ascii="Times New Roman" w:eastAsia="宋体" w:cs="Times New Roman"/>
              <w:i w:val="0"/>
              <w:iCs w:val="0"/>
              <w:sz w:val="24"/>
              <w:szCs w:val="24"/>
            </w:rPr>
            <w:fldChar w:fldCharType="end"/>
          </w:r>
        </w:p>
        <w:p w14:paraId="3CD69AA3">
          <w:pPr>
            <w:pStyle w:val="8"/>
            <w:tabs>
              <w:tab w:val="right" w:leader="dot" w:pos="8296"/>
            </w:tabs>
            <w:spacing w:line="480" w:lineRule="exact"/>
            <w:ind w:firstLine="0" w:firstLineChars="0"/>
            <w:rPr>
              <w:rFonts w:ascii="Times New Roman" w:eastAsia="宋体" w:cs="Times New Roman"/>
              <w:i w:val="0"/>
              <w:iCs w:val="0"/>
              <w:sz w:val="24"/>
              <w:szCs w:val="24"/>
            </w:rPr>
          </w:pPr>
          <w:r>
            <w:fldChar w:fldCharType="begin"/>
          </w:r>
          <w:r>
            <w:instrText xml:space="preserve"> HYPERLINK \l "_Toc77784238" </w:instrText>
          </w:r>
          <w:r>
            <w:fldChar w:fldCharType="separate"/>
          </w:r>
          <w:r>
            <w:rPr>
              <w:rStyle w:val="25"/>
              <w:rFonts w:ascii="Times New Roman" w:eastAsia="宋体" w:cs="Times New Roman"/>
              <w:i w:val="0"/>
              <w:iCs w:val="0"/>
              <w:sz w:val="24"/>
              <w:szCs w:val="24"/>
            </w:rPr>
            <w:t>2.年度重点工作任务</w:t>
          </w:r>
          <w:r>
            <w:rPr>
              <w:rFonts w:ascii="Times New Roman" w:eastAsia="宋体" w:cs="Times New Roman"/>
              <w:i w:val="0"/>
              <w:iCs w:val="0"/>
              <w:sz w:val="24"/>
              <w:szCs w:val="24"/>
            </w:rPr>
            <w:tab/>
          </w:r>
          <w:r>
            <w:rPr>
              <w:rFonts w:ascii="Times New Roman" w:eastAsia="宋体" w:cs="Times New Roman"/>
              <w:i w:val="0"/>
              <w:iCs w:val="0"/>
              <w:sz w:val="24"/>
              <w:szCs w:val="24"/>
            </w:rPr>
            <w:fldChar w:fldCharType="begin"/>
          </w:r>
          <w:r>
            <w:rPr>
              <w:rFonts w:ascii="Times New Roman" w:eastAsia="宋体" w:cs="Times New Roman"/>
              <w:i w:val="0"/>
              <w:iCs w:val="0"/>
              <w:sz w:val="24"/>
              <w:szCs w:val="24"/>
            </w:rPr>
            <w:instrText xml:space="preserve"> PAGEREF _Toc77784238 \h </w:instrText>
          </w:r>
          <w:r>
            <w:rPr>
              <w:rFonts w:ascii="Times New Roman" w:eastAsia="宋体" w:cs="Times New Roman"/>
              <w:i w:val="0"/>
              <w:iCs w:val="0"/>
              <w:sz w:val="24"/>
              <w:szCs w:val="24"/>
            </w:rPr>
            <w:fldChar w:fldCharType="separate"/>
          </w:r>
          <w:r>
            <w:rPr>
              <w:rFonts w:ascii="Times New Roman" w:eastAsia="宋体" w:cs="Times New Roman"/>
              <w:i w:val="0"/>
              <w:iCs w:val="0"/>
              <w:sz w:val="24"/>
              <w:szCs w:val="24"/>
            </w:rPr>
            <w:t>6</w:t>
          </w:r>
          <w:r>
            <w:rPr>
              <w:rFonts w:ascii="Times New Roman" w:eastAsia="宋体" w:cs="Times New Roman"/>
              <w:i w:val="0"/>
              <w:iCs w:val="0"/>
              <w:sz w:val="24"/>
              <w:szCs w:val="24"/>
            </w:rPr>
            <w:fldChar w:fldCharType="end"/>
          </w:r>
          <w:r>
            <w:rPr>
              <w:rFonts w:ascii="Times New Roman" w:eastAsia="宋体" w:cs="Times New Roman"/>
              <w:i w:val="0"/>
              <w:iCs w:val="0"/>
              <w:sz w:val="24"/>
              <w:szCs w:val="24"/>
            </w:rPr>
            <w:fldChar w:fldCharType="end"/>
          </w:r>
        </w:p>
        <w:p w14:paraId="0FF7250D">
          <w:pPr>
            <w:pStyle w:val="14"/>
            <w:ind w:firstLine="0" w:firstLineChars="0"/>
            <w:rPr>
              <w:rFonts w:ascii="Times New Roman" w:eastAsia="宋体" w:cs="Times New Roman"/>
              <w:sz w:val="24"/>
              <w:szCs w:val="24"/>
            </w:rPr>
          </w:pPr>
          <w:r>
            <w:fldChar w:fldCharType="begin"/>
          </w:r>
          <w:r>
            <w:instrText xml:space="preserve"> HYPERLINK \l "_Toc77784239" </w:instrText>
          </w:r>
          <w:r>
            <w:fldChar w:fldCharType="separate"/>
          </w:r>
          <w:r>
            <w:rPr>
              <w:rStyle w:val="25"/>
              <w:rFonts w:ascii="Times New Roman" w:eastAsia="宋体" w:cs="Times New Roman"/>
              <w:sz w:val="24"/>
              <w:szCs w:val="24"/>
            </w:rPr>
            <w:t>二、预算管理情况</w:t>
          </w:r>
          <w:r>
            <w:rPr>
              <w:rFonts w:ascii="Times New Roman" w:eastAsia="宋体" w:cs="Times New Roman"/>
              <w:sz w:val="24"/>
              <w:szCs w:val="24"/>
            </w:rPr>
            <w:tab/>
          </w:r>
          <w:r>
            <w:rPr>
              <w:rFonts w:ascii="Times New Roman" w:eastAsia="宋体" w:cs="Times New Roman"/>
              <w:sz w:val="24"/>
              <w:szCs w:val="24"/>
            </w:rPr>
            <w:fldChar w:fldCharType="begin"/>
          </w:r>
          <w:r>
            <w:rPr>
              <w:rFonts w:ascii="Times New Roman" w:eastAsia="宋体" w:cs="Times New Roman"/>
              <w:sz w:val="24"/>
              <w:szCs w:val="24"/>
            </w:rPr>
            <w:instrText xml:space="preserve"> PAGEREF _Toc77784239 \h </w:instrText>
          </w:r>
          <w:r>
            <w:rPr>
              <w:rFonts w:ascii="Times New Roman" w:eastAsia="宋体" w:cs="Times New Roman"/>
              <w:sz w:val="24"/>
              <w:szCs w:val="24"/>
            </w:rPr>
            <w:fldChar w:fldCharType="separate"/>
          </w:r>
          <w:r>
            <w:rPr>
              <w:rFonts w:ascii="Times New Roman" w:eastAsia="宋体" w:cs="Times New Roman"/>
              <w:sz w:val="24"/>
              <w:szCs w:val="24"/>
            </w:rPr>
            <w:t>7</w:t>
          </w:r>
          <w:r>
            <w:rPr>
              <w:rFonts w:ascii="Times New Roman" w:eastAsia="宋体" w:cs="Times New Roman"/>
              <w:sz w:val="24"/>
              <w:szCs w:val="24"/>
            </w:rPr>
            <w:fldChar w:fldCharType="end"/>
          </w:r>
          <w:r>
            <w:rPr>
              <w:rFonts w:ascii="Times New Roman" w:eastAsia="宋体" w:cs="Times New Roman"/>
              <w:sz w:val="24"/>
              <w:szCs w:val="24"/>
            </w:rPr>
            <w:fldChar w:fldCharType="end"/>
          </w:r>
        </w:p>
        <w:p w14:paraId="1755224A">
          <w:pPr>
            <w:pStyle w:val="18"/>
            <w:tabs>
              <w:tab w:val="right" w:leader="dot" w:pos="8296"/>
            </w:tabs>
            <w:spacing w:line="480" w:lineRule="exact"/>
            <w:ind w:firstLine="0" w:firstLineChars="0"/>
            <w:rPr>
              <w:rFonts w:ascii="Times New Roman" w:eastAsia="宋体" w:cs="Times New Roman"/>
              <w:smallCaps w:val="0"/>
              <w:sz w:val="24"/>
              <w:szCs w:val="24"/>
            </w:rPr>
          </w:pPr>
          <w:r>
            <w:fldChar w:fldCharType="begin"/>
          </w:r>
          <w:r>
            <w:instrText xml:space="preserve"> HYPERLINK \l "_Toc77784240" </w:instrText>
          </w:r>
          <w:r>
            <w:fldChar w:fldCharType="separate"/>
          </w:r>
          <w:r>
            <w:rPr>
              <w:rStyle w:val="25"/>
              <w:rFonts w:ascii="Times New Roman" w:eastAsia="宋体" w:cs="Times New Roman"/>
              <w:sz w:val="24"/>
              <w:szCs w:val="24"/>
            </w:rPr>
            <w:t>（一）预算编制情况</w:t>
          </w:r>
          <w:r>
            <w:rPr>
              <w:rFonts w:ascii="Times New Roman" w:eastAsia="宋体" w:cs="Times New Roman"/>
              <w:sz w:val="24"/>
              <w:szCs w:val="24"/>
            </w:rPr>
            <w:tab/>
          </w:r>
          <w:r>
            <w:rPr>
              <w:rFonts w:ascii="Times New Roman" w:eastAsia="宋体" w:cs="Times New Roman"/>
              <w:sz w:val="24"/>
              <w:szCs w:val="24"/>
            </w:rPr>
            <w:fldChar w:fldCharType="begin"/>
          </w:r>
          <w:r>
            <w:rPr>
              <w:rFonts w:ascii="Times New Roman" w:eastAsia="宋体" w:cs="Times New Roman"/>
              <w:sz w:val="24"/>
              <w:szCs w:val="24"/>
            </w:rPr>
            <w:instrText xml:space="preserve"> PAGEREF _Toc77784240 \h </w:instrText>
          </w:r>
          <w:r>
            <w:rPr>
              <w:rFonts w:ascii="Times New Roman" w:eastAsia="宋体" w:cs="Times New Roman"/>
              <w:sz w:val="24"/>
              <w:szCs w:val="24"/>
            </w:rPr>
            <w:fldChar w:fldCharType="separate"/>
          </w:r>
          <w:r>
            <w:rPr>
              <w:rFonts w:ascii="Times New Roman" w:eastAsia="宋体" w:cs="Times New Roman"/>
              <w:sz w:val="24"/>
              <w:szCs w:val="24"/>
            </w:rPr>
            <w:t>7</w:t>
          </w:r>
          <w:r>
            <w:rPr>
              <w:rFonts w:ascii="Times New Roman" w:eastAsia="宋体" w:cs="Times New Roman"/>
              <w:sz w:val="24"/>
              <w:szCs w:val="24"/>
            </w:rPr>
            <w:fldChar w:fldCharType="end"/>
          </w:r>
          <w:r>
            <w:rPr>
              <w:rFonts w:ascii="Times New Roman" w:eastAsia="宋体" w:cs="Times New Roman"/>
              <w:sz w:val="24"/>
              <w:szCs w:val="24"/>
            </w:rPr>
            <w:fldChar w:fldCharType="end"/>
          </w:r>
        </w:p>
        <w:p w14:paraId="38113E0F">
          <w:pPr>
            <w:pStyle w:val="8"/>
            <w:tabs>
              <w:tab w:val="right" w:leader="dot" w:pos="8296"/>
            </w:tabs>
            <w:spacing w:line="480" w:lineRule="exact"/>
            <w:ind w:firstLine="0" w:firstLineChars="0"/>
            <w:rPr>
              <w:rFonts w:ascii="Times New Roman" w:eastAsia="宋体" w:cs="Times New Roman"/>
              <w:i w:val="0"/>
              <w:iCs w:val="0"/>
              <w:sz w:val="24"/>
              <w:szCs w:val="24"/>
            </w:rPr>
          </w:pPr>
          <w:r>
            <w:fldChar w:fldCharType="begin"/>
          </w:r>
          <w:r>
            <w:instrText xml:space="preserve"> HYPERLINK \l "_Toc77784241" </w:instrText>
          </w:r>
          <w:r>
            <w:fldChar w:fldCharType="separate"/>
          </w:r>
          <w:r>
            <w:rPr>
              <w:rStyle w:val="25"/>
              <w:rFonts w:ascii="Times New Roman" w:eastAsia="宋体" w:cs="Times New Roman"/>
              <w:i w:val="0"/>
              <w:iCs w:val="0"/>
              <w:sz w:val="24"/>
              <w:szCs w:val="24"/>
            </w:rPr>
            <w:t>1.预算收入情况</w:t>
          </w:r>
          <w:r>
            <w:rPr>
              <w:rFonts w:ascii="Times New Roman" w:eastAsia="宋体" w:cs="Times New Roman"/>
              <w:i w:val="0"/>
              <w:iCs w:val="0"/>
              <w:sz w:val="24"/>
              <w:szCs w:val="24"/>
            </w:rPr>
            <w:tab/>
          </w:r>
          <w:r>
            <w:rPr>
              <w:rFonts w:ascii="Times New Roman" w:eastAsia="宋体" w:cs="Times New Roman"/>
              <w:i w:val="0"/>
              <w:iCs w:val="0"/>
              <w:sz w:val="24"/>
              <w:szCs w:val="24"/>
            </w:rPr>
            <w:fldChar w:fldCharType="begin"/>
          </w:r>
          <w:r>
            <w:rPr>
              <w:rFonts w:ascii="Times New Roman" w:eastAsia="宋体" w:cs="Times New Roman"/>
              <w:i w:val="0"/>
              <w:iCs w:val="0"/>
              <w:sz w:val="24"/>
              <w:szCs w:val="24"/>
            </w:rPr>
            <w:instrText xml:space="preserve"> PAGEREF _Toc77784241 \h </w:instrText>
          </w:r>
          <w:r>
            <w:rPr>
              <w:rFonts w:ascii="Times New Roman" w:eastAsia="宋体" w:cs="Times New Roman"/>
              <w:i w:val="0"/>
              <w:iCs w:val="0"/>
              <w:sz w:val="24"/>
              <w:szCs w:val="24"/>
            </w:rPr>
            <w:fldChar w:fldCharType="separate"/>
          </w:r>
          <w:r>
            <w:rPr>
              <w:rFonts w:ascii="Times New Roman" w:eastAsia="宋体" w:cs="Times New Roman"/>
              <w:i w:val="0"/>
              <w:iCs w:val="0"/>
              <w:sz w:val="24"/>
              <w:szCs w:val="24"/>
            </w:rPr>
            <w:t>8</w:t>
          </w:r>
          <w:r>
            <w:rPr>
              <w:rFonts w:ascii="Times New Roman" w:eastAsia="宋体" w:cs="Times New Roman"/>
              <w:i w:val="0"/>
              <w:iCs w:val="0"/>
              <w:sz w:val="24"/>
              <w:szCs w:val="24"/>
            </w:rPr>
            <w:fldChar w:fldCharType="end"/>
          </w:r>
          <w:r>
            <w:rPr>
              <w:rFonts w:ascii="Times New Roman" w:eastAsia="宋体" w:cs="Times New Roman"/>
              <w:i w:val="0"/>
              <w:iCs w:val="0"/>
              <w:sz w:val="24"/>
              <w:szCs w:val="24"/>
            </w:rPr>
            <w:fldChar w:fldCharType="end"/>
          </w:r>
        </w:p>
        <w:p w14:paraId="0886A2BD">
          <w:pPr>
            <w:pStyle w:val="8"/>
            <w:tabs>
              <w:tab w:val="right" w:leader="dot" w:pos="8296"/>
            </w:tabs>
            <w:spacing w:line="480" w:lineRule="exact"/>
            <w:ind w:firstLine="0" w:firstLineChars="0"/>
            <w:rPr>
              <w:rFonts w:ascii="Times New Roman" w:eastAsia="宋体" w:cs="Times New Roman"/>
              <w:i w:val="0"/>
              <w:iCs w:val="0"/>
              <w:sz w:val="24"/>
              <w:szCs w:val="24"/>
            </w:rPr>
          </w:pPr>
          <w:r>
            <w:fldChar w:fldCharType="begin"/>
          </w:r>
          <w:r>
            <w:instrText xml:space="preserve"> HYPERLINK \l "_Toc77784242" </w:instrText>
          </w:r>
          <w:r>
            <w:fldChar w:fldCharType="separate"/>
          </w:r>
          <w:r>
            <w:rPr>
              <w:rStyle w:val="25"/>
              <w:rFonts w:ascii="Times New Roman" w:eastAsia="宋体" w:cs="Times New Roman"/>
              <w:i w:val="0"/>
              <w:iCs w:val="0"/>
              <w:sz w:val="24"/>
              <w:szCs w:val="24"/>
            </w:rPr>
            <w:t>2.预算支出情况</w:t>
          </w:r>
          <w:r>
            <w:rPr>
              <w:rFonts w:ascii="Times New Roman" w:eastAsia="宋体" w:cs="Times New Roman"/>
              <w:i w:val="0"/>
              <w:iCs w:val="0"/>
              <w:sz w:val="24"/>
              <w:szCs w:val="24"/>
            </w:rPr>
            <w:tab/>
          </w:r>
          <w:r>
            <w:rPr>
              <w:rFonts w:ascii="Times New Roman" w:eastAsia="宋体" w:cs="Times New Roman"/>
              <w:i w:val="0"/>
              <w:iCs w:val="0"/>
              <w:sz w:val="24"/>
              <w:szCs w:val="24"/>
            </w:rPr>
            <w:fldChar w:fldCharType="begin"/>
          </w:r>
          <w:r>
            <w:rPr>
              <w:rFonts w:ascii="Times New Roman" w:eastAsia="宋体" w:cs="Times New Roman"/>
              <w:i w:val="0"/>
              <w:iCs w:val="0"/>
              <w:sz w:val="24"/>
              <w:szCs w:val="24"/>
            </w:rPr>
            <w:instrText xml:space="preserve"> PAGEREF _Toc77784242 \h </w:instrText>
          </w:r>
          <w:r>
            <w:rPr>
              <w:rFonts w:ascii="Times New Roman" w:eastAsia="宋体" w:cs="Times New Roman"/>
              <w:i w:val="0"/>
              <w:iCs w:val="0"/>
              <w:sz w:val="24"/>
              <w:szCs w:val="24"/>
            </w:rPr>
            <w:fldChar w:fldCharType="separate"/>
          </w:r>
          <w:r>
            <w:rPr>
              <w:rFonts w:ascii="Times New Roman" w:eastAsia="宋体" w:cs="Times New Roman"/>
              <w:i w:val="0"/>
              <w:iCs w:val="0"/>
              <w:sz w:val="24"/>
              <w:szCs w:val="24"/>
            </w:rPr>
            <w:t>8</w:t>
          </w:r>
          <w:r>
            <w:rPr>
              <w:rFonts w:ascii="Times New Roman" w:eastAsia="宋体" w:cs="Times New Roman"/>
              <w:i w:val="0"/>
              <w:iCs w:val="0"/>
              <w:sz w:val="24"/>
              <w:szCs w:val="24"/>
            </w:rPr>
            <w:fldChar w:fldCharType="end"/>
          </w:r>
          <w:r>
            <w:rPr>
              <w:rFonts w:ascii="Times New Roman" w:eastAsia="宋体" w:cs="Times New Roman"/>
              <w:i w:val="0"/>
              <w:iCs w:val="0"/>
              <w:sz w:val="24"/>
              <w:szCs w:val="24"/>
            </w:rPr>
            <w:fldChar w:fldCharType="end"/>
          </w:r>
        </w:p>
        <w:p w14:paraId="301DE59B">
          <w:pPr>
            <w:pStyle w:val="18"/>
            <w:tabs>
              <w:tab w:val="right" w:leader="dot" w:pos="8296"/>
            </w:tabs>
            <w:spacing w:line="480" w:lineRule="exact"/>
            <w:ind w:firstLine="0" w:firstLineChars="0"/>
            <w:rPr>
              <w:rFonts w:ascii="Times New Roman" w:eastAsia="宋体" w:cs="Times New Roman"/>
              <w:smallCaps w:val="0"/>
              <w:sz w:val="24"/>
              <w:szCs w:val="24"/>
            </w:rPr>
          </w:pPr>
          <w:r>
            <w:fldChar w:fldCharType="begin"/>
          </w:r>
          <w:r>
            <w:instrText xml:space="preserve"> HYPERLINK \l "_Toc77784243" </w:instrText>
          </w:r>
          <w:r>
            <w:fldChar w:fldCharType="separate"/>
          </w:r>
          <w:r>
            <w:rPr>
              <w:rStyle w:val="25"/>
              <w:rFonts w:ascii="Times New Roman" w:eastAsia="宋体" w:cs="Times New Roman"/>
              <w:sz w:val="24"/>
              <w:szCs w:val="24"/>
            </w:rPr>
            <w:t>（二）预算执行情况</w:t>
          </w:r>
          <w:r>
            <w:rPr>
              <w:rFonts w:ascii="Times New Roman" w:eastAsia="宋体" w:cs="Times New Roman"/>
              <w:sz w:val="24"/>
              <w:szCs w:val="24"/>
            </w:rPr>
            <w:tab/>
          </w:r>
          <w:r>
            <w:rPr>
              <w:rFonts w:ascii="Times New Roman" w:eastAsia="宋体" w:cs="Times New Roman"/>
              <w:sz w:val="24"/>
              <w:szCs w:val="24"/>
            </w:rPr>
            <w:fldChar w:fldCharType="begin"/>
          </w:r>
          <w:r>
            <w:rPr>
              <w:rFonts w:ascii="Times New Roman" w:eastAsia="宋体" w:cs="Times New Roman"/>
              <w:sz w:val="24"/>
              <w:szCs w:val="24"/>
            </w:rPr>
            <w:instrText xml:space="preserve"> PAGEREF _Toc77784243 \h </w:instrText>
          </w:r>
          <w:r>
            <w:rPr>
              <w:rFonts w:ascii="Times New Roman" w:eastAsia="宋体" w:cs="Times New Roman"/>
              <w:sz w:val="24"/>
              <w:szCs w:val="24"/>
            </w:rPr>
            <w:fldChar w:fldCharType="separate"/>
          </w:r>
          <w:r>
            <w:rPr>
              <w:rFonts w:ascii="Times New Roman" w:eastAsia="宋体" w:cs="Times New Roman"/>
              <w:sz w:val="24"/>
              <w:szCs w:val="24"/>
            </w:rPr>
            <w:t>11</w:t>
          </w:r>
          <w:r>
            <w:rPr>
              <w:rFonts w:ascii="Times New Roman" w:eastAsia="宋体" w:cs="Times New Roman"/>
              <w:sz w:val="24"/>
              <w:szCs w:val="24"/>
            </w:rPr>
            <w:fldChar w:fldCharType="end"/>
          </w:r>
          <w:r>
            <w:rPr>
              <w:rFonts w:ascii="Times New Roman" w:eastAsia="宋体" w:cs="Times New Roman"/>
              <w:sz w:val="24"/>
              <w:szCs w:val="24"/>
            </w:rPr>
            <w:fldChar w:fldCharType="end"/>
          </w:r>
        </w:p>
        <w:p w14:paraId="05FE46F3">
          <w:pPr>
            <w:pStyle w:val="14"/>
            <w:ind w:firstLine="0" w:firstLineChars="0"/>
            <w:rPr>
              <w:rFonts w:ascii="Times New Roman" w:eastAsia="宋体" w:cs="Times New Roman"/>
              <w:sz w:val="24"/>
              <w:szCs w:val="24"/>
            </w:rPr>
          </w:pPr>
          <w:r>
            <w:fldChar w:fldCharType="begin"/>
          </w:r>
          <w:r>
            <w:instrText xml:space="preserve"> HYPERLINK \l "_Toc77784244" </w:instrText>
          </w:r>
          <w:r>
            <w:fldChar w:fldCharType="separate"/>
          </w:r>
          <w:r>
            <w:rPr>
              <w:rStyle w:val="25"/>
              <w:rFonts w:ascii="Times New Roman" w:eastAsia="宋体" w:cs="Times New Roman"/>
              <w:sz w:val="24"/>
              <w:szCs w:val="24"/>
            </w:rPr>
            <w:t>三、部门管理情况</w:t>
          </w:r>
          <w:r>
            <w:rPr>
              <w:rFonts w:ascii="Times New Roman" w:eastAsia="宋体" w:cs="Times New Roman"/>
              <w:sz w:val="24"/>
              <w:szCs w:val="24"/>
            </w:rPr>
            <w:tab/>
          </w:r>
          <w:r>
            <w:rPr>
              <w:rFonts w:ascii="Times New Roman" w:eastAsia="宋体" w:cs="Times New Roman"/>
              <w:sz w:val="24"/>
              <w:szCs w:val="24"/>
            </w:rPr>
            <w:fldChar w:fldCharType="begin"/>
          </w:r>
          <w:r>
            <w:rPr>
              <w:rFonts w:ascii="Times New Roman" w:eastAsia="宋体" w:cs="Times New Roman"/>
              <w:sz w:val="24"/>
              <w:szCs w:val="24"/>
            </w:rPr>
            <w:instrText xml:space="preserve"> PAGEREF _Toc77784244 \h </w:instrText>
          </w:r>
          <w:r>
            <w:rPr>
              <w:rFonts w:ascii="Times New Roman" w:eastAsia="宋体" w:cs="Times New Roman"/>
              <w:sz w:val="24"/>
              <w:szCs w:val="24"/>
            </w:rPr>
            <w:fldChar w:fldCharType="separate"/>
          </w:r>
          <w:r>
            <w:rPr>
              <w:rFonts w:ascii="Times New Roman" w:eastAsia="宋体" w:cs="Times New Roman"/>
              <w:sz w:val="24"/>
              <w:szCs w:val="24"/>
            </w:rPr>
            <w:t>12</w:t>
          </w:r>
          <w:r>
            <w:rPr>
              <w:rFonts w:ascii="Times New Roman" w:eastAsia="宋体" w:cs="Times New Roman"/>
              <w:sz w:val="24"/>
              <w:szCs w:val="24"/>
            </w:rPr>
            <w:fldChar w:fldCharType="end"/>
          </w:r>
          <w:r>
            <w:rPr>
              <w:rFonts w:ascii="Times New Roman" w:eastAsia="宋体" w:cs="Times New Roman"/>
              <w:sz w:val="24"/>
              <w:szCs w:val="24"/>
            </w:rPr>
            <w:fldChar w:fldCharType="end"/>
          </w:r>
        </w:p>
        <w:p w14:paraId="06F49160">
          <w:pPr>
            <w:pStyle w:val="18"/>
            <w:tabs>
              <w:tab w:val="right" w:leader="dot" w:pos="8296"/>
            </w:tabs>
            <w:spacing w:line="480" w:lineRule="exact"/>
            <w:ind w:firstLine="0" w:firstLineChars="0"/>
            <w:rPr>
              <w:rFonts w:ascii="Times New Roman" w:eastAsia="宋体" w:cs="Times New Roman"/>
              <w:smallCaps w:val="0"/>
              <w:sz w:val="24"/>
              <w:szCs w:val="24"/>
            </w:rPr>
          </w:pPr>
          <w:r>
            <w:fldChar w:fldCharType="begin"/>
          </w:r>
          <w:r>
            <w:instrText xml:space="preserve"> HYPERLINK \l "_Toc77784245" </w:instrText>
          </w:r>
          <w:r>
            <w:fldChar w:fldCharType="separate"/>
          </w:r>
          <w:r>
            <w:rPr>
              <w:rStyle w:val="25"/>
              <w:rFonts w:ascii="Times New Roman" w:eastAsia="宋体" w:cs="Times New Roman"/>
              <w:sz w:val="24"/>
              <w:szCs w:val="24"/>
            </w:rPr>
            <w:t>（一）基础管理</w:t>
          </w:r>
          <w:r>
            <w:rPr>
              <w:rFonts w:ascii="Times New Roman" w:eastAsia="宋体" w:cs="Times New Roman"/>
              <w:sz w:val="24"/>
              <w:szCs w:val="24"/>
            </w:rPr>
            <w:tab/>
          </w:r>
          <w:r>
            <w:rPr>
              <w:rFonts w:ascii="Times New Roman" w:eastAsia="宋体" w:cs="Times New Roman"/>
              <w:sz w:val="24"/>
              <w:szCs w:val="24"/>
            </w:rPr>
            <w:fldChar w:fldCharType="begin"/>
          </w:r>
          <w:r>
            <w:rPr>
              <w:rFonts w:ascii="Times New Roman" w:eastAsia="宋体" w:cs="Times New Roman"/>
              <w:sz w:val="24"/>
              <w:szCs w:val="24"/>
            </w:rPr>
            <w:instrText xml:space="preserve"> PAGEREF _Toc77784245 \h </w:instrText>
          </w:r>
          <w:r>
            <w:rPr>
              <w:rFonts w:ascii="Times New Roman" w:eastAsia="宋体" w:cs="Times New Roman"/>
              <w:sz w:val="24"/>
              <w:szCs w:val="24"/>
            </w:rPr>
            <w:fldChar w:fldCharType="separate"/>
          </w:r>
          <w:r>
            <w:rPr>
              <w:rFonts w:ascii="Times New Roman" w:eastAsia="宋体" w:cs="Times New Roman"/>
              <w:sz w:val="24"/>
              <w:szCs w:val="24"/>
            </w:rPr>
            <w:t>12</w:t>
          </w:r>
          <w:r>
            <w:rPr>
              <w:rFonts w:ascii="Times New Roman" w:eastAsia="宋体" w:cs="Times New Roman"/>
              <w:sz w:val="24"/>
              <w:szCs w:val="24"/>
            </w:rPr>
            <w:fldChar w:fldCharType="end"/>
          </w:r>
          <w:r>
            <w:rPr>
              <w:rFonts w:ascii="Times New Roman" w:eastAsia="宋体" w:cs="Times New Roman"/>
              <w:sz w:val="24"/>
              <w:szCs w:val="24"/>
            </w:rPr>
            <w:fldChar w:fldCharType="end"/>
          </w:r>
        </w:p>
        <w:p w14:paraId="6F79D315">
          <w:pPr>
            <w:pStyle w:val="18"/>
            <w:tabs>
              <w:tab w:val="right" w:leader="dot" w:pos="8296"/>
            </w:tabs>
            <w:spacing w:line="480" w:lineRule="exact"/>
            <w:ind w:firstLine="0" w:firstLineChars="0"/>
            <w:rPr>
              <w:rFonts w:ascii="Times New Roman" w:eastAsia="宋体" w:cs="Times New Roman"/>
              <w:smallCaps w:val="0"/>
              <w:sz w:val="24"/>
              <w:szCs w:val="24"/>
            </w:rPr>
          </w:pPr>
          <w:r>
            <w:fldChar w:fldCharType="begin"/>
          </w:r>
          <w:r>
            <w:instrText xml:space="preserve"> HYPERLINK \l "_Toc77784246" </w:instrText>
          </w:r>
          <w:r>
            <w:fldChar w:fldCharType="separate"/>
          </w:r>
          <w:r>
            <w:rPr>
              <w:rStyle w:val="25"/>
              <w:rFonts w:ascii="Times New Roman" w:eastAsia="宋体" w:cs="Times New Roman"/>
              <w:sz w:val="24"/>
              <w:szCs w:val="24"/>
            </w:rPr>
            <w:t>（二）行政成本</w:t>
          </w:r>
          <w:r>
            <w:rPr>
              <w:rFonts w:ascii="Times New Roman" w:eastAsia="宋体" w:cs="Times New Roman"/>
              <w:sz w:val="24"/>
              <w:szCs w:val="24"/>
            </w:rPr>
            <w:tab/>
          </w:r>
          <w:r>
            <w:rPr>
              <w:rFonts w:ascii="Times New Roman" w:eastAsia="宋体" w:cs="Times New Roman"/>
              <w:sz w:val="24"/>
              <w:szCs w:val="24"/>
            </w:rPr>
            <w:fldChar w:fldCharType="begin"/>
          </w:r>
          <w:r>
            <w:rPr>
              <w:rFonts w:ascii="Times New Roman" w:eastAsia="宋体" w:cs="Times New Roman"/>
              <w:sz w:val="24"/>
              <w:szCs w:val="24"/>
            </w:rPr>
            <w:instrText xml:space="preserve"> PAGEREF _Toc77784246 \h </w:instrText>
          </w:r>
          <w:r>
            <w:rPr>
              <w:rFonts w:ascii="Times New Roman" w:eastAsia="宋体" w:cs="Times New Roman"/>
              <w:sz w:val="24"/>
              <w:szCs w:val="24"/>
            </w:rPr>
            <w:fldChar w:fldCharType="separate"/>
          </w:r>
          <w:r>
            <w:rPr>
              <w:rFonts w:ascii="Times New Roman" w:eastAsia="宋体" w:cs="Times New Roman"/>
              <w:sz w:val="24"/>
              <w:szCs w:val="24"/>
            </w:rPr>
            <w:t>13</w:t>
          </w:r>
          <w:r>
            <w:rPr>
              <w:rFonts w:ascii="Times New Roman" w:eastAsia="宋体" w:cs="Times New Roman"/>
              <w:sz w:val="24"/>
              <w:szCs w:val="24"/>
            </w:rPr>
            <w:fldChar w:fldCharType="end"/>
          </w:r>
          <w:r>
            <w:rPr>
              <w:rFonts w:ascii="Times New Roman" w:eastAsia="宋体" w:cs="Times New Roman"/>
              <w:sz w:val="24"/>
              <w:szCs w:val="24"/>
            </w:rPr>
            <w:fldChar w:fldCharType="end"/>
          </w:r>
        </w:p>
        <w:p w14:paraId="2FA3CA36">
          <w:pPr>
            <w:pStyle w:val="18"/>
            <w:tabs>
              <w:tab w:val="right" w:leader="dot" w:pos="8296"/>
            </w:tabs>
            <w:spacing w:line="480" w:lineRule="exact"/>
            <w:ind w:firstLine="0" w:firstLineChars="0"/>
            <w:rPr>
              <w:rFonts w:ascii="Times New Roman" w:eastAsia="宋体" w:cs="Times New Roman"/>
              <w:smallCaps w:val="0"/>
              <w:sz w:val="24"/>
              <w:szCs w:val="24"/>
            </w:rPr>
          </w:pPr>
          <w:r>
            <w:fldChar w:fldCharType="begin"/>
          </w:r>
          <w:r>
            <w:instrText xml:space="preserve"> HYPERLINK \l "_Toc77784247" </w:instrText>
          </w:r>
          <w:r>
            <w:fldChar w:fldCharType="separate"/>
          </w:r>
          <w:r>
            <w:rPr>
              <w:rStyle w:val="25"/>
              <w:rFonts w:ascii="Times New Roman" w:eastAsia="宋体" w:cs="Times New Roman"/>
              <w:sz w:val="24"/>
              <w:szCs w:val="24"/>
            </w:rPr>
            <w:t>（三）政府采购</w:t>
          </w:r>
          <w:r>
            <w:rPr>
              <w:rFonts w:ascii="Times New Roman" w:eastAsia="宋体" w:cs="Times New Roman"/>
              <w:sz w:val="24"/>
              <w:szCs w:val="24"/>
            </w:rPr>
            <w:tab/>
          </w:r>
          <w:r>
            <w:rPr>
              <w:rFonts w:ascii="Times New Roman" w:eastAsia="宋体" w:cs="Times New Roman"/>
              <w:sz w:val="24"/>
              <w:szCs w:val="24"/>
            </w:rPr>
            <w:fldChar w:fldCharType="begin"/>
          </w:r>
          <w:r>
            <w:rPr>
              <w:rFonts w:ascii="Times New Roman" w:eastAsia="宋体" w:cs="Times New Roman"/>
              <w:sz w:val="24"/>
              <w:szCs w:val="24"/>
            </w:rPr>
            <w:instrText xml:space="preserve"> PAGEREF _Toc77784247 \h </w:instrText>
          </w:r>
          <w:r>
            <w:rPr>
              <w:rFonts w:ascii="Times New Roman" w:eastAsia="宋体" w:cs="Times New Roman"/>
              <w:sz w:val="24"/>
              <w:szCs w:val="24"/>
            </w:rPr>
            <w:fldChar w:fldCharType="separate"/>
          </w:r>
          <w:r>
            <w:rPr>
              <w:rFonts w:ascii="Times New Roman" w:eastAsia="宋体" w:cs="Times New Roman"/>
              <w:sz w:val="24"/>
              <w:szCs w:val="24"/>
            </w:rPr>
            <w:t>14</w:t>
          </w:r>
          <w:r>
            <w:rPr>
              <w:rFonts w:ascii="Times New Roman" w:eastAsia="宋体" w:cs="Times New Roman"/>
              <w:sz w:val="24"/>
              <w:szCs w:val="24"/>
            </w:rPr>
            <w:fldChar w:fldCharType="end"/>
          </w:r>
          <w:r>
            <w:rPr>
              <w:rFonts w:ascii="Times New Roman" w:eastAsia="宋体" w:cs="Times New Roman"/>
              <w:sz w:val="24"/>
              <w:szCs w:val="24"/>
            </w:rPr>
            <w:fldChar w:fldCharType="end"/>
          </w:r>
        </w:p>
        <w:p w14:paraId="39913D94">
          <w:pPr>
            <w:pStyle w:val="18"/>
            <w:tabs>
              <w:tab w:val="right" w:leader="dot" w:pos="8296"/>
            </w:tabs>
            <w:spacing w:line="480" w:lineRule="exact"/>
            <w:ind w:firstLine="0" w:firstLineChars="0"/>
            <w:rPr>
              <w:rFonts w:ascii="Times New Roman" w:eastAsia="宋体" w:cs="Times New Roman"/>
              <w:smallCaps w:val="0"/>
              <w:sz w:val="24"/>
              <w:szCs w:val="24"/>
            </w:rPr>
          </w:pPr>
          <w:r>
            <w:fldChar w:fldCharType="begin"/>
          </w:r>
          <w:r>
            <w:instrText xml:space="preserve"> HYPERLINK \l "_Toc77784248" </w:instrText>
          </w:r>
          <w:r>
            <w:fldChar w:fldCharType="separate"/>
          </w:r>
          <w:r>
            <w:rPr>
              <w:rStyle w:val="25"/>
              <w:rFonts w:ascii="Times New Roman" w:eastAsia="宋体" w:cs="Times New Roman"/>
              <w:sz w:val="24"/>
              <w:szCs w:val="24"/>
            </w:rPr>
            <w:t>（四）资产管理</w:t>
          </w:r>
          <w:r>
            <w:rPr>
              <w:rFonts w:ascii="Times New Roman" w:eastAsia="宋体" w:cs="Times New Roman"/>
              <w:sz w:val="24"/>
              <w:szCs w:val="24"/>
            </w:rPr>
            <w:tab/>
          </w:r>
          <w:r>
            <w:rPr>
              <w:rFonts w:ascii="Times New Roman" w:eastAsia="宋体" w:cs="Times New Roman"/>
              <w:sz w:val="24"/>
              <w:szCs w:val="24"/>
            </w:rPr>
            <w:fldChar w:fldCharType="begin"/>
          </w:r>
          <w:r>
            <w:rPr>
              <w:rFonts w:ascii="Times New Roman" w:eastAsia="宋体" w:cs="Times New Roman"/>
              <w:sz w:val="24"/>
              <w:szCs w:val="24"/>
            </w:rPr>
            <w:instrText xml:space="preserve"> PAGEREF _Toc77784248 \h </w:instrText>
          </w:r>
          <w:r>
            <w:rPr>
              <w:rFonts w:ascii="Times New Roman" w:eastAsia="宋体" w:cs="Times New Roman"/>
              <w:sz w:val="24"/>
              <w:szCs w:val="24"/>
            </w:rPr>
            <w:fldChar w:fldCharType="separate"/>
          </w:r>
          <w:r>
            <w:rPr>
              <w:rFonts w:ascii="Times New Roman" w:eastAsia="宋体" w:cs="Times New Roman"/>
              <w:sz w:val="24"/>
              <w:szCs w:val="24"/>
            </w:rPr>
            <w:t>14</w:t>
          </w:r>
          <w:r>
            <w:rPr>
              <w:rFonts w:ascii="Times New Roman" w:eastAsia="宋体" w:cs="Times New Roman"/>
              <w:sz w:val="24"/>
              <w:szCs w:val="24"/>
            </w:rPr>
            <w:fldChar w:fldCharType="end"/>
          </w:r>
          <w:r>
            <w:rPr>
              <w:rFonts w:ascii="Times New Roman" w:eastAsia="宋体" w:cs="Times New Roman"/>
              <w:sz w:val="24"/>
              <w:szCs w:val="24"/>
            </w:rPr>
            <w:fldChar w:fldCharType="end"/>
          </w:r>
        </w:p>
        <w:p w14:paraId="13F426F1">
          <w:pPr>
            <w:pStyle w:val="18"/>
            <w:tabs>
              <w:tab w:val="right" w:leader="dot" w:pos="8296"/>
            </w:tabs>
            <w:spacing w:line="480" w:lineRule="exact"/>
            <w:ind w:firstLine="0" w:firstLineChars="0"/>
            <w:rPr>
              <w:rFonts w:ascii="Times New Roman" w:eastAsia="宋体" w:cs="Times New Roman"/>
              <w:smallCaps w:val="0"/>
              <w:sz w:val="24"/>
              <w:szCs w:val="24"/>
            </w:rPr>
          </w:pPr>
          <w:r>
            <w:fldChar w:fldCharType="begin"/>
          </w:r>
          <w:r>
            <w:instrText xml:space="preserve"> HYPERLINK \l "_Toc77784249" </w:instrText>
          </w:r>
          <w:r>
            <w:fldChar w:fldCharType="separate"/>
          </w:r>
          <w:r>
            <w:rPr>
              <w:rStyle w:val="25"/>
              <w:rFonts w:ascii="Times New Roman" w:eastAsia="宋体" w:cs="Times New Roman"/>
              <w:sz w:val="24"/>
              <w:szCs w:val="24"/>
            </w:rPr>
            <w:t>（五）信息公开</w:t>
          </w:r>
          <w:r>
            <w:rPr>
              <w:rFonts w:ascii="Times New Roman" w:eastAsia="宋体" w:cs="Times New Roman"/>
              <w:sz w:val="24"/>
              <w:szCs w:val="24"/>
            </w:rPr>
            <w:tab/>
          </w:r>
          <w:r>
            <w:rPr>
              <w:rFonts w:ascii="Times New Roman" w:eastAsia="宋体" w:cs="Times New Roman"/>
              <w:sz w:val="24"/>
              <w:szCs w:val="24"/>
            </w:rPr>
            <w:fldChar w:fldCharType="begin"/>
          </w:r>
          <w:r>
            <w:rPr>
              <w:rFonts w:ascii="Times New Roman" w:eastAsia="宋体" w:cs="Times New Roman"/>
              <w:sz w:val="24"/>
              <w:szCs w:val="24"/>
            </w:rPr>
            <w:instrText xml:space="preserve"> PAGEREF _Toc77784249 \h </w:instrText>
          </w:r>
          <w:r>
            <w:rPr>
              <w:rFonts w:ascii="Times New Roman" w:eastAsia="宋体" w:cs="Times New Roman"/>
              <w:sz w:val="24"/>
              <w:szCs w:val="24"/>
            </w:rPr>
            <w:fldChar w:fldCharType="separate"/>
          </w:r>
          <w:r>
            <w:rPr>
              <w:rFonts w:ascii="Times New Roman" w:eastAsia="宋体" w:cs="Times New Roman"/>
              <w:sz w:val="24"/>
              <w:szCs w:val="24"/>
            </w:rPr>
            <w:t>14</w:t>
          </w:r>
          <w:r>
            <w:rPr>
              <w:rFonts w:ascii="Times New Roman" w:eastAsia="宋体" w:cs="Times New Roman"/>
              <w:sz w:val="24"/>
              <w:szCs w:val="24"/>
            </w:rPr>
            <w:fldChar w:fldCharType="end"/>
          </w:r>
          <w:r>
            <w:rPr>
              <w:rFonts w:ascii="Times New Roman" w:eastAsia="宋体" w:cs="Times New Roman"/>
              <w:sz w:val="24"/>
              <w:szCs w:val="24"/>
            </w:rPr>
            <w:fldChar w:fldCharType="end"/>
          </w:r>
        </w:p>
        <w:p w14:paraId="1886ACAB">
          <w:pPr>
            <w:pStyle w:val="14"/>
            <w:ind w:firstLine="0" w:firstLineChars="0"/>
            <w:rPr>
              <w:rFonts w:ascii="Times New Roman" w:eastAsia="宋体" w:cs="Times New Roman"/>
              <w:sz w:val="24"/>
              <w:szCs w:val="24"/>
            </w:rPr>
          </w:pPr>
          <w:r>
            <w:fldChar w:fldCharType="begin"/>
          </w:r>
          <w:r>
            <w:instrText xml:space="preserve"> HYPERLINK \l "_Toc77784250" </w:instrText>
          </w:r>
          <w:r>
            <w:fldChar w:fldCharType="separate"/>
          </w:r>
          <w:r>
            <w:rPr>
              <w:rStyle w:val="25"/>
              <w:rFonts w:ascii="Times New Roman" w:eastAsia="宋体" w:cs="Times New Roman"/>
              <w:sz w:val="24"/>
              <w:szCs w:val="24"/>
            </w:rPr>
            <w:t>四、部门履职效能</w:t>
          </w:r>
          <w:r>
            <w:rPr>
              <w:rFonts w:ascii="Times New Roman" w:eastAsia="宋体" w:cs="Times New Roman"/>
              <w:sz w:val="24"/>
              <w:szCs w:val="24"/>
            </w:rPr>
            <w:tab/>
          </w:r>
          <w:r>
            <w:rPr>
              <w:rFonts w:ascii="Times New Roman" w:eastAsia="宋体" w:cs="Times New Roman"/>
              <w:sz w:val="24"/>
              <w:szCs w:val="24"/>
            </w:rPr>
            <w:fldChar w:fldCharType="begin"/>
          </w:r>
          <w:r>
            <w:rPr>
              <w:rFonts w:ascii="Times New Roman" w:eastAsia="宋体" w:cs="Times New Roman"/>
              <w:sz w:val="24"/>
              <w:szCs w:val="24"/>
            </w:rPr>
            <w:instrText xml:space="preserve"> PAGEREF _Toc77784250 \h </w:instrText>
          </w:r>
          <w:r>
            <w:rPr>
              <w:rFonts w:ascii="Times New Roman" w:eastAsia="宋体" w:cs="Times New Roman"/>
              <w:sz w:val="24"/>
              <w:szCs w:val="24"/>
            </w:rPr>
            <w:fldChar w:fldCharType="separate"/>
          </w:r>
          <w:r>
            <w:rPr>
              <w:rFonts w:ascii="Times New Roman" w:eastAsia="宋体" w:cs="Times New Roman"/>
              <w:sz w:val="24"/>
              <w:szCs w:val="24"/>
            </w:rPr>
            <w:t>14</w:t>
          </w:r>
          <w:r>
            <w:rPr>
              <w:rFonts w:ascii="Times New Roman" w:eastAsia="宋体" w:cs="Times New Roman"/>
              <w:sz w:val="24"/>
              <w:szCs w:val="24"/>
            </w:rPr>
            <w:fldChar w:fldCharType="end"/>
          </w:r>
          <w:r>
            <w:rPr>
              <w:rFonts w:ascii="Times New Roman" w:eastAsia="宋体" w:cs="Times New Roman"/>
              <w:sz w:val="24"/>
              <w:szCs w:val="24"/>
            </w:rPr>
            <w:fldChar w:fldCharType="end"/>
          </w:r>
        </w:p>
        <w:p w14:paraId="019AC9AE">
          <w:pPr>
            <w:pStyle w:val="18"/>
            <w:tabs>
              <w:tab w:val="right" w:leader="dot" w:pos="8296"/>
            </w:tabs>
            <w:spacing w:line="480" w:lineRule="exact"/>
            <w:ind w:firstLine="0" w:firstLineChars="0"/>
            <w:rPr>
              <w:rFonts w:ascii="Times New Roman" w:eastAsia="宋体" w:cs="Times New Roman"/>
              <w:smallCaps w:val="0"/>
              <w:sz w:val="24"/>
              <w:szCs w:val="24"/>
            </w:rPr>
          </w:pPr>
          <w:r>
            <w:fldChar w:fldCharType="begin"/>
          </w:r>
          <w:r>
            <w:instrText xml:space="preserve"> HYPERLINK \l "_Toc77784251" </w:instrText>
          </w:r>
          <w:r>
            <w:fldChar w:fldCharType="separate"/>
          </w:r>
          <w:r>
            <w:rPr>
              <w:rStyle w:val="25"/>
              <w:rFonts w:ascii="Times New Roman" w:eastAsia="宋体" w:cs="Times New Roman"/>
              <w:sz w:val="24"/>
              <w:szCs w:val="24"/>
            </w:rPr>
            <w:t>（一）部门履职的总体目标</w:t>
          </w:r>
          <w:r>
            <w:rPr>
              <w:rFonts w:ascii="Times New Roman" w:eastAsia="宋体" w:cs="Times New Roman"/>
              <w:sz w:val="24"/>
              <w:szCs w:val="24"/>
            </w:rPr>
            <w:tab/>
          </w:r>
          <w:r>
            <w:rPr>
              <w:rFonts w:ascii="Times New Roman" w:eastAsia="宋体" w:cs="Times New Roman"/>
              <w:sz w:val="24"/>
              <w:szCs w:val="24"/>
            </w:rPr>
            <w:fldChar w:fldCharType="begin"/>
          </w:r>
          <w:r>
            <w:rPr>
              <w:rFonts w:ascii="Times New Roman" w:eastAsia="宋体" w:cs="Times New Roman"/>
              <w:sz w:val="24"/>
              <w:szCs w:val="24"/>
            </w:rPr>
            <w:instrText xml:space="preserve"> PAGEREF _Toc77784251 \h </w:instrText>
          </w:r>
          <w:r>
            <w:rPr>
              <w:rFonts w:ascii="Times New Roman" w:eastAsia="宋体" w:cs="Times New Roman"/>
              <w:sz w:val="24"/>
              <w:szCs w:val="24"/>
            </w:rPr>
            <w:fldChar w:fldCharType="separate"/>
          </w:r>
          <w:r>
            <w:rPr>
              <w:rFonts w:ascii="Times New Roman" w:eastAsia="宋体" w:cs="Times New Roman"/>
              <w:sz w:val="24"/>
              <w:szCs w:val="24"/>
            </w:rPr>
            <w:t>14</w:t>
          </w:r>
          <w:r>
            <w:rPr>
              <w:rFonts w:ascii="Times New Roman" w:eastAsia="宋体" w:cs="Times New Roman"/>
              <w:sz w:val="24"/>
              <w:szCs w:val="24"/>
            </w:rPr>
            <w:fldChar w:fldCharType="end"/>
          </w:r>
          <w:r>
            <w:rPr>
              <w:rFonts w:ascii="Times New Roman" w:eastAsia="宋体" w:cs="Times New Roman"/>
              <w:sz w:val="24"/>
              <w:szCs w:val="24"/>
            </w:rPr>
            <w:fldChar w:fldCharType="end"/>
          </w:r>
        </w:p>
        <w:p w14:paraId="2A37DC79">
          <w:pPr>
            <w:pStyle w:val="18"/>
            <w:tabs>
              <w:tab w:val="right" w:leader="dot" w:pos="8296"/>
            </w:tabs>
            <w:spacing w:line="480" w:lineRule="exact"/>
            <w:ind w:firstLine="0" w:firstLineChars="0"/>
            <w:rPr>
              <w:rFonts w:ascii="Times New Roman" w:eastAsia="宋体" w:cs="Times New Roman"/>
              <w:smallCaps w:val="0"/>
              <w:sz w:val="24"/>
              <w:szCs w:val="24"/>
            </w:rPr>
          </w:pPr>
          <w:r>
            <w:fldChar w:fldCharType="begin"/>
          </w:r>
          <w:r>
            <w:instrText xml:space="preserve"> HYPERLINK \l "_Toc77784252" </w:instrText>
          </w:r>
          <w:r>
            <w:fldChar w:fldCharType="separate"/>
          </w:r>
          <w:r>
            <w:rPr>
              <w:rStyle w:val="25"/>
              <w:rFonts w:ascii="Times New Roman" w:eastAsia="宋体" w:cs="Times New Roman"/>
              <w:sz w:val="24"/>
              <w:szCs w:val="24"/>
            </w:rPr>
            <w:t>（二）重点工作任务绩效目标完成情况</w:t>
          </w:r>
          <w:r>
            <w:rPr>
              <w:rFonts w:ascii="Times New Roman" w:eastAsia="宋体" w:cs="Times New Roman"/>
              <w:sz w:val="24"/>
              <w:szCs w:val="24"/>
            </w:rPr>
            <w:tab/>
          </w:r>
          <w:r>
            <w:rPr>
              <w:rFonts w:ascii="Times New Roman" w:eastAsia="宋体" w:cs="Times New Roman"/>
              <w:sz w:val="24"/>
              <w:szCs w:val="24"/>
            </w:rPr>
            <w:fldChar w:fldCharType="begin"/>
          </w:r>
          <w:r>
            <w:rPr>
              <w:rFonts w:ascii="Times New Roman" w:eastAsia="宋体" w:cs="Times New Roman"/>
              <w:sz w:val="24"/>
              <w:szCs w:val="24"/>
            </w:rPr>
            <w:instrText xml:space="preserve"> PAGEREF _Toc77784252 \h </w:instrText>
          </w:r>
          <w:r>
            <w:rPr>
              <w:rFonts w:ascii="Times New Roman" w:eastAsia="宋体" w:cs="Times New Roman"/>
              <w:sz w:val="24"/>
              <w:szCs w:val="24"/>
            </w:rPr>
            <w:fldChar w:fldCharType="separate"/>
          </w:r>
          <w:r>
            <w:rPr>
              <w:rFonts w:ascii="Times New Roman" w:eastAsia="宋体" w:cs="Times New Roman"/>
              <w:sz w:val="24"/>
              <w:szCs w:val="24"/>
            </w:rPr>
            <w:t>16</w:t>
          </w:r>
          <w:r>
            <w:rPr>
              <w:rFonts w:ascii="Times New Roman" w:eastAsia="宋体" w:cs="Times New Roman"/>
              <w:sz w:val="24"/>
              <w:szCs w:val="24"/>
            </w:rPr>
            <w:fldChar w:fldCharType="end"/>
          </w:r>
          <w:r>
            <w:rPr>
              <w:rFonts w:ascii="Times New Roman" w:eastAsia="宋体" w:cs="Times New Roman"/>
              <w:sz w:val="24"/>
              <w:szCs w:val="24"/>
            </w:rPr>
            <w:fldChar w:fldCharType="end"/>
          </w:r>
        </w:p>
        <w:p w14:paraId="3C11D3A4">
          <w:pPr>
            <w:pStyle w:val="8"/>
            <w:tabs>
              <w:tab w:val="right" w:leader="dot" w:pos="8296"/>
            </w:tabs>
            <w:spacing w:line="480" w:lineRule="exact"/>
            <w:ind w:firstLine="0" w:firstLineChars="0"/>
            <w:rPr>
              <w:rFonts w:ascii="Times New Roman" w:eastAsia="宋体" w:cs="Times New Roman"/>
              <w:i w:val="0"/>
              <w:iCs w:val="0"/>
              <w:sz w:val="24"/>
              <w:szCs w:val="24"/>
            </w:rPr>
          </w:pPr>
          <w:r>
            <w:fldChar w:fldCharType="begin"/>
          </w:r>
          <w:r>
            <w:instrText xml:space="preserve"> HYPERLINK \l "_Toc77784253" </w:instrText>
          </w:r>
          <w:r>
            <w:fldChar w:fldCharType="separate"/>
          </w:r>
          <w:r>
            <w:rPr>
              <w:rStyle w:val="25"/>
              <w:rFonts w:ascii="Times New Roman" w:eastAsia="宋体" w:cs="Times New Roman"/>
              <w:i w:val="0"/>
              <w:iCs w:val="0"/>
              <w:sz w:val="24"/>
              <w:szCs w:val="24"/>
            </w:rPr>
            <w:t>1.不动产登记</w:t>
          </w:r>
          <w:r>
            <w:rPr>
              <w:rFonts w:ascii="Times New Roman" w:eastAsia="宋体" w:cs="Times New Roman"/>
              <w:i w:val="0"/>
              <w:iCs w:val="0"/>
              <w:sz w:val="24"/>
              <w:szCs w:val="24"/>
            </w:rPr>
            <w:tab/>
          </w:r>
          <w:r>
            <w:rPr>
              <w:rFonts w:ascii="Times New Roman" w:eastAsia="宋体" w:cs="Times New Roman"/>
              <w:i w:val="0"/>
              <w:iCs w:val="0"/>
              <w:sz w:val="24"/>
              <w:szCs w:val="24"/>
            </w:rPr>
            <w:fldChar w:fldCharType="begin"/>
          </w:r>
          <w:r>
            <w:rPr>
              <w:rFonts w:ascii="Times New Roman" w:eastAsia="宋体" w:cs="Times New Roman"/>
              <w:i w:val="0"/>
              <w:iCs w:val="0"/>
              <w:sz w:val="24"/>
              <w:szCs w:val="24"/>
            </w:rPr>
            <w:instrText xml:space="preserve"> PAGEREF _Toc77784253 \h </w:instrText>
          </w:r>
          <w:r>
            <w:rPr>
              <w:rFonts w:ascii="Times New Roman" w:eastAsia="宋体" w:cs="Times New Roman"/>
              <w:i w:val="0"/>
              <w:iCs w:val="0"/>
              <w:sz w:val="24"/>
              <w:szCs w:val="24"/>
            </w:rPr>
            <w:fldChar w:fldCharType="separate"/>
          </w:r>
          <w:r>
            <w:rPr>
              <w:rFonts w:ascii="Times New Roman" w:eastAsia="宋体" w:cs="Times New Roman"/>
              <w:i w:val="0"/>
              <w:iCs w:val="0"/>
              <w:sz w:val="24"/>
              <w:szCs w:val="24"/>
            </w:rPr>
            <w:t>17</w:t>
          </w:r>
          <w:r>
            <w:rPr>
              <w:rFonts w:ascii="Times New Roman" w:eastAsia="宋体" w:cs="Times New Roman"/>
              <w:i w:val="0"/>
              <w:iCs w:val="0"/>
              <w:sz w:val="24"/>
              <w:szCs w:val="24"/>
            </w:rPr>
            <w:fldChar w:fldCharType="end"/>
          </w:r>
          <w:r>
            <w:rPr>
              <w:rFonts w:ascii="Times New Roman" w:eastAsia="宋体" w:cs="Times New Roman"/>
              <w:i w:val="0"/>
              <w:iCs w:val="0"/>
              <w:sz w:val="24"/>
              <w:szCs w:val="24"/>
            </w:rPr>
            <w:fldChar w:fldCharType="end"/>
          </w:r>
        </w:p>
        <w:p w14:paraId="12F11D13">
          <w:pPr>
            <w:pStyle w:val="8"/>
            <w:tabs>
              <w:tab w:val="right" w:leader="dot" w:pos="8296"/>
            </w:tabs>
            <w:spacing w:line="480" w:lineRule="exact"/>
            <w:ind w:firstLine="0" w:firstLineChars="0"/>
            <w:rPr>
              <w:rFonts w:ascii="Times New Roman" w:eastAsia="宋体" w:cs="Times New Roman"/>
              <w:i w:val="0"/>
              <w:iCs w:val="0"/>
              <w:sz w:val="24"/>
              <w:szCs w:val="24"/>
            </w:rPr>
          </w:pPr>
          <w:r>
            <w:fldChar w:fldCharType="begin"/>
          </w:r>
          <w:r>
            <w:instrText xml:space="preserve"> HYPERLINK \l "_Toc77784254" </w:instrText>
          </w:r>
          <w:r>
            <w:fldChar w:fldCharType="separate"/>
          </w:r>
          <w:r>
            <w:rPr>
              <w:rStyle w:val="25"/>
              <w:rFonts w:ascii="Times New Roman" w:eastAsia="宋体" w:cs="Times New Roman"/>
              <w:i w:val="0"/>
              <w:iCs w:val="0"/>
              <w:sz w:val="24"/>
              <w:szCs w:val="24"/>
            </w:rPr>
            <w:t>2.灾害防治</w:t>
          </w:r>
          <w:r>
            <w:rPr>
              <w:rFonts w:ascii="Times New Roman" w:eastAsia="宋体" w:cs="Times New Roman"/>
              <w:i w:val="0"/>
              <w:iCs w:val="0"/>
              <w:sz w:val="24"/>
              <w:szCs w:val="24"/>
            </w:rPr>
            <w:tab/>
          </w:r>
          <w:r>
            <w:rPr>
              <w:rFonts w:ascii="Times New Roman" w:eastAsia="宋体" w:cs="Times New Roman"/>
              <w:i w:val="0"/>
              <w:iCs w:val="0"/>
              <w:sz w:val="24"/>
              <w:szCs w:val="24"/>
            </w:rPr>
            <w:fldChar w:fldCharType="begin"/>
          </w:r>
          <w:r>
            <w:rPr>
              <w:rFonts w:ascii="Times New Roman" w:eastAsia="宋体" w:cs="Times New Roman"/>
              <w:i w:val="0"/>
              <w:iCs w:val="0"/>
              <w:sz w:val="24"/>
              <w:szCs w:val="24"/>
            </w:rPr>
            <w:instrText xml:space="preserve"> PAGEREF _Toc77784254 \h </w:instrText>
          </w:r>
          <w:r>
            <w:rPr>
              <w:rFonts w:ascii="Times New Roman" w:eastAsia="宋体" w:cs="Times New Roman"/>
              <w:i w:val="0"/>
              <w:iCs w:val="0"/>
              <w:sz w:val="24"/>
              <w:szCs w:val="24"/>
            </w:rPr>
            <w:fldChar w:fldCharType="separate"/>
          </w:r>
          <w:r>
            <w:rPr>
              <w:rFonts w:ascii="Times New Roman" w:eastAsia="宋体" w:cs="Times New Roman"/>
              <w:i w:val="0"/>
              <w:iCs w:val="0"/>
              <w:sz w:val="24"/>
              <w:szCs w:val="24"/>
            </w:rPr>
            <w:t>17</w:t>
          </w:r>
          <w:r>
            <w:rPr>
              <w:rFonts w:ascii="Times New Roman" w:eastAsia="宋体" w:cs="Times New Roman"/>
              <w:i w:val="0"/>
              <w:iCs w:val="0"/>
              <w:sz w:val="24"/>
              <w:szCs w:val="24"/>
            </w:rPr>
            <w:fldChar w:fldCharType="end"/>
          </w:r>
          <w:r>
            <w:rPr>
              <w:rFonts w:ascii="Times New Roman" w:eastAsia="宋体" w:cs="Times New Roman"/>
              <w:i w:val="0"/>
              <w:iCs w:val="0"/>
              <w:sz w:val="24"/>
              <w:szCs w:val="24"/>
            </w:rPr>
            <w:fldChar w:fldCharType="end"/>
          </w:r>
        </w:p>
        <w:p w14:paraId="46F51FA5">
          <w:pPr>
            <w:pStyle w:val="8"/>
            <w:tabs>
              <w:tab w:val="right" w:leader="dot" w:pos="8296"/>
            </w:tabs>
            <w:spacing w:line="480" w:lineRule="exact"/>
            <w:ind w:firstLine="0" w:firstLineChars="0"/>
            <w:rPr>
              <w:rFonts w:ascii="Times New Roman" w:eastAsia="宋体" w:cs="Times New Roman"/>
              <w:i w:val="0"/>
              <w:iCs w:val="0"/>
              <w:sz w:val="24"/>
              <w:szCs w:val="24"/>
            </w:rPr>
          </w:pPr>
          <w:r>
            <w:fldChar w:fldCharType="begin"/>
          </w:r>
          <w:r>
            <w:instrText xml:space="preserve"> HYPERLINK \l "_Toc77784255" </w:instrText>
          </w:r>
          <w:r>
            <w:fldChar w:fldCharType="separate"/>
          </w:r>
          <w:r>
            <w:rPr>
              <w:rStyle w:val="25"/>
              <w:rFonts w:ascii="Times New Roman" w:eastAsia="宋体" w:cs="Times New Roman"/>
              <w:i w:val="0"/>
              <w:iCs w:val="0"/>
              <w:sz w:val="24"/>
              <w:szCs w:val="24"/>
            </w:rPr>
            <w:t>3.统筹用地</w:t>
          </w:r>
          <w:r>
            <w:rPr>
              <w:rFonts w:ascii="Times New Roman" w:eastAsia="宋体" w:cs="Times New Roman"/>
              <w:i w:val="0"/>
              <w:iCs w:val="0"/>
              <w:sz w:val="24"/>
              <w:szCs w:val="24"/>
            </w:rPr>
            <w:tab/>
          </w:r>
          <w:r>
            <w:rPr>
              <w:rFonts w:ascii="Times New Roman" w:eastAsia="宋体" w:cs="Times New Roman"/>
              <w:i w:val="0"/>
              <w:iCs w:val="0"/>
              <w:sz w:val="24"/>
              <w:szCs w:val="24"/>
            </w:rPr>
            <w:fldChar w:fldCharType="begin"/>
          </w:r>
          <w:r>
            <w:rPr>
              <w:rFonts w:ascii="Times New Roman" w:eastAsia="宋体" w:cs="Times New Roman"/>
              <w:i w:val="0"/>
              <w:iCs w:val="0"/>
              <w:sz w:val="24"/>
              <w:szCs w:val="24"/>
            </w:rPr>
            <w:instrText xml:space="preserve"> PAGEREF _Toc77784255 \h </w:instrText>
          </w:r>
          <w:r>
            <w:rPr>
              <w:rFonts w:ascii="Times New Roman" w:eastAsia="宋体" w:cs="Times New Roman"/>
              <w:i w:val="0"/>
              <w:iCs w:val="0"/>
              <w:sz w:val="24"/>
              <w:szCs w:val="24"/>
            </w:rPr>
            <w:fldChar w:fldCharType="separate"/>
          </w:r>
          <w:r>
            <w:rPr>
              <w:rFonts w:ascii="Times New Roman" w:eastAsia="宋体" w:cs="Times New Roman"/>
              <w:i w:val="0"/>
              <w:iCs w:val="0"/>
              <w:sz w:val="24"/>
              <w:szCs w:val="24"/>
            </w:rPr>
            <w:t>18</w:t>
          </w:r>
          <w:r>
            <w:rPr>
              <w:rFonts w:ascii="Times New Roman" w:eastAsia="宋体" w:cs="Times New Roman"/>
              <w:i w:val="0"/>
              <w:iCs w:val="0"/>
              <w:sz w:val="24"/>
              <w:szCs w:val="24"/>
            </w:rPr>
            <w:fldChar w:fldCharType="end"/>
          </w:r>
          <w:r>
            <w:rPr>
              <w:rFonts w:ascii="Times New Roman" w:eastAsia="宋体" w:cs="Times New Roman"/>
              <w:i w:val="0"/>
              <w:iCs w:val="0"/>
              <w:sz w:val="24"/>
              <w:szCs w:val="24"/>
            </w:rPr>
            <w:fldChar w:fldCharType="end"/>
          </w:r>
        </w:p>
        <w:p w14:paraId="44CBCA31">
          <w:pPr>
            <w:pStyle w:val="8"/>
            <w:tabs>
              <w:tab w:val="right" w:leader="dot" w:pos="8296"/>
            </w:tabs>
            <w:spacing w:line="480" w:lineRule="exact"/>
            <w:ind w:firstLine="0" w:firstLineChars="0"/>
            <w:rPr>
              <w:rFonts w:ascii="Times New Roman" w:eastAsia="宋体" w:cs="Times New Roman"/>
              <w:i w:val="0"/>
              <w:iCs w:val="0"/>
              <w:sz w:val="24"/>
              <w:szCs w:val="24"/>
            </w:rPr>
          </w:pPr>
          <w:r>
            <w:fldChar w:fldCharType="begin"/>
          </w:r>
          <w:r>
            <w:instrText xml:space="preserve"> HYPERLINK \l "_Toc77784256" </w:instrText>
          </w:r>
          <w:r>
            <w:fldChar w:fldCharType="separate"/>
          </w:r>
          <w:r>
            <w:rPr>
              <w:rStyle w:val="25"/>
              <w:rFonts w:ascii="Times New Roman" w:eastAsia="宋体" w:cs="Times New Roman"/>
              <w:i w:val="0"/>
              <w:iCs w:val="0"/>
              <w:sz w:val="24"/>
              <w:szCs w:val="24"/>
            </w:rPr>
            <w:t>4.绿色发展</w:t>
          </w:r>
          <w:r>
            <w:rPr>
              <w:rFonts w:ascii="Times New Roman" w:eastAsia="宋体" w:cs="Times New Roman"/>
              <w:i w:val="0"/>
              <w:iCs w:val="0"/>
              <w:sz w:val="24"/>
              <w:szCs w:val="24"/>
            </w:rPr>
            <w:tab/>
          </w:r>
          <w:r>
            <w:rPr>
              <w:rFonts w:ascii="Times New Roman" w:eastAsia="宋体" w:cs="Times New Roman"/>
              <w:i w:val="0"/>
              <w:iCs w:val="0"/>
              <w:sz w:val="24"/>
              <w:szCs w:val="24"/>
            </w:rPr>
            <w:fldChar w:fldCharType="begin"/>
          </w:r>
          <w:r>
            <w:rPr>
              <w:rFonts w:ascii="Times New Roman" w:eastAsia="宋体" w:cs="Times New Roman"/>
              <w:i w:val="0"/>
              <w:iCs w:val="0"/>
              <w:sz w:val="24"/>
              <w:szCs w:val="24"/>
            </w:rPr>
            <w:instrText xml:space="preserve"> PAGEREF _Toc77784256 \h </w:instrText>
          </w:r>
          <w:r>
            <w:rPr>
              <w:rFonts w:ascii="Times New Roman" w:eastAsia="宋体" w:cs="Times New Roman"/>
              <w:i w:val="0"/>
              <w:iCs w:val="0"/>
              <w:sz w:val="24"/>
              <w:szCs w:val="24"/>
            </w:rPr>
            <w:fldChar w:fldCharType="separate"/>
          </w:r>
          <w:r>
            <w:rPr>
              <w:rFonts w:ascii="Times New Roman" w:eastAsia="宋体" w:cs="Times New Roman"/>
              <w:i w:val="0"/>
              <w:iCs w:val="0"/>
              <w:sz w:val="24"/>
              <w:szCs w:val="24"/>
            </w:rPr>
            <w:t>19</w:t>
          </w:r>
          <w:r>
            <w:rPr>
              <w:rFonts w:ascii="Times New Roman" w:eastAsia="宋体" w:cs="Times New Roman"/>
              <w:i w:val="0"/>
              <w:iCs w:val="0"/>
              <w:sz w:val="24"/>
              <w:szCs w:val="24"/>
            </w:rPr>
            <w:fldChar w:fldCharType="end"/>
          </w:r>
          <w:r>
            <w:rPr>
              <w:rFonts w:ascii="Times New Roman" w:eastAsia="宋体" w:cs="Times New Roman"/>
              <w:i w:val="0"/>
              <w:iCs w:val="0"/>
              <w:sz w:val="24"/>
              <w:szCs w:val="24"/>
            </w:rPr>
            <w:fldChar w:fldCharType="end"/>
          </w:r>
        </w:p>
        <w:p w14:paraId="59189E0E">
          <w:pPr>
            <w:pStyle w:val="8"/>
            <w:tabs>
              <w:tab w:val="right" w:leader="dot" w:pos="8296"/>
            </w:tabs>
            <w:spacing w:line="480" w:lineRule="exact"/>
            <w:ind w:firstLine="0" w:firstLineChars="0"/>
            <w:rPr>
              <w:rFonts w:ascii="Times New Roman" w:eastAsia="宋体" w:cs="Times New Roman"/>
              <w:i w:val="0"/>
              <w:iCs w:val="0"/>
              <w:sz w:val="24"/>
              <w:szCs w:val="24"/>
            </w:rPr>
          </w:pPr>
          <w:r>
            <w:fldChar w:fldCharType="begin"/>
          </w:r>
          <w:r>
            <w:instrText xml:space="preserve"> HYPERLINK \l "_Toc77784257" </w:instrText>
          </w:r>
          <w:r>
            <w:fldChar w:fldCharType="separate"/>
          </w:r>
          <w:r>
            <w:rPr>
              <w:rStyle w:val="25"/>
              <w:rFonts w:ascii="Times New Roman" w:eastAsia="宋体" w:cs="Times New Roman"/>
              <w:i w:val="0"/>
              <w:iCs w:val="0"/>
              <w:sz w:val="24"/>
              <w:szCs w:val="24"/>
            </w:rPr>
            <w:t>5.卫片执法</w:t>
          </w:r>
          <w:r>
            <w:rPr>
              <w:rFonts w:ascii="Times New Roman" w:eastAsia="宋体" w:cs="Times New Roman"/>
              <w:i w:val="0"/>
              <w:iCs w:val="0"/>
              <w:sz w:val="24"/>
              <w:szCs w:val="24"/>
            </w:rPr>
            <w:tab/>
          </w:r>
          <w:r>
            <w:rPr>
              <w:rFonts w:ascii="Times New Roman" w:eastAsia="宋体" w:cs="Times New Roman"/>
              <w:i w:val="0"/>
              <w:iCs w:val="0"/>
              <w:sz w:val="24"/>
              <w:szCs w:val="24"/>
            </w:rPr>
            <w:fldChar w:fldCharType="begin"/>
          </w:r>
          <w:r>
            <w:rPr>
              <w:rFonts w:ascii="Times New Roman" w:eastAsia="宋体" w:cs="Times New Roman"/>
              <w:i w:val="0"/>
              <w:iCs w:val="0"/>
              <w:sz w:val="24"/>
              <w:szCs w:val="24"/>
            </w:rPr>
            <w:instrText xml:space="preserve"> PAGEREF _Toc77784257 \h </w:instrText>
          </w:r>
          <w:r>
            <w:rPr>
              <w:rFonts w:ascii="Times New Roman" w:eastAsia="宋体" w:cs="Times New Roman"/>
              <w:i w:val="0"/>
              <w:iCs w:val="0"/>
              <w:sz w:val="24"/>
              <w:szCs w:val="24"/>
            </w:rPr>
            <w:fldChar w:fldCharType="separate"/>
          </w:r>
          <w:r>
            <w:rPr>
              <w:rFonts w:ascii="Times New Roman" w:eastAsia="宋体" w:cs="Times New Roman"/>
              <w:i w:val="0"/>
              <w:iCs w:val="0"/>
              <w:sz w:val="24"/>
              <w:szCs w:val="24"/>
            </w:rPr>
            <w:t>20</w:t>
          </w:r>
          <w:r>
            <w:rPr>
              <w:rFonts w:ascii="Times New Roman" w:eastAsia="宋体" w:cs="Times New Roman"/>
              <w:i w:val="0"/>
              <w:iCs w:val="0"/>
              <w:sz w:val="24"/>
              <w:szCs w:val="24"/>
            </w:rPr>
            <w:fldChar w:fldCharType="end"/>
          </w:r>
          <w:r>
            <w:rPr>
              <w:rFonts w:ascii="Times New Roman" w:eastAsia="宋体" w:cs="Times New Roman"/>
              <w:i w:val="0"/>
              <w:iCs w:val="0"/>
              <w:sz w:val="24"/>
              <w:szCs w:val="24"/>
            </w:rPr>
            <w:fldChar w:fldCharType="end"/>
          </w:r>
        </w:p>
        <w:p w14:paraId="20745A47">
          <w:pPr>
            <w:pStyle w:val="8"/>
            <w:tabs>
              <w:tab w:val="right" w:leader="dot" w:pos="8296"/>
            </w:tabs>
            <w:spacing w:line="480" w:lineRule="exact"/>
            <w:ind w:firstLine="0" w:firstLineChars="0"/>
            <w:rPr>
              <w:rFonts w:ascii="Times New Roman" w:eastAsia="宋体" w:cs="Times New Roman"/>
              <w:i w:val="0"/>
              <w:iCs w:val="0"/>
              <w:sz w:val="24"/>
              <w:szCs w:val="24"/>
            </w:rPr>
          </w:pPr>
          <w:r>
            <w:fldChar w:fldCharType="begin"/>
          </w:r>
          <w:r>
            <w:instrText xml:space="preserve"> HYPERLINK \l "_Toc77784258" </w:instrText>
          </w:r>
          <w:r>
            <w:fldChar w:fldCharType="separate"/>
          </w:r>
          <w:r>
            <w:rPr>
              <w:rStyle w:val="25"/>
              <w:rFonts w:ascii="Times New Roman" w:eastAsia="宋体" w:cs="Times New Roman"/>
              <w:i w:val="0"/>
              <w:iCs w:val="0"/>
              <w:sz w:val="24"/>
              <w:szCs w:val="24"/>
            </w:rPr>
            <w:t>6.廉政建设与意识形态工作</w:t>
          </w:r>
          <w:r>
            <w:rPr>
              <w:rFonts w:ascii="Times New Roman" w:eastAsia="宋体" w:cs="Times New Roman"/>
              <w:i w:val="0"/>
              <w:iCs w:val="0"/>
              <w:sz w:val="24"/>
              <w:szCs w:val="24"/>
            </w:rPr>
            <w:tab/>
          </w:r>
          <w:r>
            <w:rPr>
              <w:rFonts w:ascii="Times New Roman" w:eastAsia="宋体" w:cs="Times New Roman"/>
              <w:i w:val="0"/>
              <w:iCs w:val="0"/>
              <w:sz w:val="24"/>
              <w:szCs w:val="24"/>
            </w:rPr>
            <w:fldChar w:fldCharType="begin"/>
          </w:r>
          <w:r>
            <w:rPr>
              <w:rFonts w:ascii="Times New Roman" w:eastAsia="宋体" w:cs="Times New Roman"/>
              <w:i w:val="0"/>
              <w:iCs w:val="0"/>
              <w:sz w:val="24"/>
              <w:szCs w:val="24"/>
            </w:rPr>
            <w:instrText xml:space="preserve"> PAGEREF _Toc77784258 \h </w:instrText>
          </w:r>
          <w:r>
            <w:rPr>
              <w:rFonts w:ascii="Times New Roman" w:eastAsia="宋体" w:cs="Times New Roman"/>
              <w:i w:val="0"/>
              <w:iCs w:val="0"/>
              <w:sz w:val="24"/>
              <w:szCs w:val="24"/>
            </w:rPr>
            <w:fldChar w:fldCharType="separate"/>
          </w:r>
          <w:r>
            <w:rPr>
              <w:rFonts w:ascii="Times New Roman" w:eastAsia="宋体" w:cs="Times New Roman"/>
              <w:i w:val="0"/>
              <w:iCs w:val="0"/>
              <w:sz w:val="24"/>
              <w:szCs w:val="24"/>
            </w:rPr>
            <w:t>21</w:t>
          </w:r>
          <w:r>
            <w:rPr>
              <w:rFonts w:ascii="Times New Roman" w:eastAsia="宋体" w:cs="Times New Roman"/>
              <w:i w:val="0"/>
              <w:iCs w:val="0"/>
              <w:sz w:val="24"/>
              <w:szCs w:val="24"/>
            </w:rPr>
            <w:fldChar w:fldCharType="end"/>
          </w:r>
          <w:r>
            <w:rPr>
              <w:rFonts w:ascii="Times New Roman" w:eastAsia="宋体" w:cs="Times New Roman"/>
              <w:i w:val="0"/>
              <w:iCs w:val="0"/>
              <w:sz w:val="24"/>
              <w:szCs w:val="24"/>
            </w:rPr>
            <w:fldChar w:fldCharType="end"/>
          </w:r>
        </w:p>
        <w:p w14:paraId="2AB80B71">
          <w:pPr>
            <w:pStyle w:val="8"/>
            <w:tabs>
              <w:tab w:val="right" w:leader="dot" w:pos="8296"/>
            </w:tabs>
            <w:spacing w:line="480" w:lineRule="exact"/>
            <w:ind w:firstLine="0" w:firstLineChars="0"/>
            <w:rPr>
              <w:rFonts w:ascii="Times New Roman" w:eastAsia="宋体" w:cs="Times New Roman"/>
              <w:i w:val="0"/>
              <w:iCs w:val="0"/>
              <w:sz w:val="24"/>
              <w:szCs w:val="24"/>
            </w:rPr>
          </w:pPr>
          <w:r>
            <w:fldChar w:fldCharType="begin"/>
          </w:r>
          <w:r>
            <w:instrText xml:space="preserve"> HYPERLINK \l "_Toc77784259" </w:instrText>
          </w:r>
          <w:r>
            <w:fldChar w:fldCharType="separate"/>
          </w:r>
          <w:r>
            <w:rPr>
              <w:rStyle w:val="25"/>
              <w:rFonts w:ascii="Times New Roman" w:eastAsia="宋体" w:cs="Times New Roman"/>
              <w:i w:val="0"/>
              <w:iCs w:val="0"/>
              <w:sz w:val="24"/>
              <w:szCs w:val="24"/>
            </w:rPr>
            <w:t>7.土地基金收入</w:t>
          </w:r>
          <w:r>
            <w:rPr>
              <w:rFonts w:ascii="Times New Roman" w:eastAsia="宋体" w:cs="Times New Roman"/>
              <w:i w:val="0"/>
              <w:iCs w:val="0"/>
              <w:sz w:val="24"/>
              <w:szCs w:val="24"/>
            </w:rPr>
            <w:tab/>
          </w:r>
          <w:r>
            <w:rPr>
              <w:rFonts w:ascii="Times New Roman" w:eastAsia="宋体" w:cs="Times New Roman"/>
              <w:i w:val="0"/>
              <w:iCs w:val="0"/>
              <w:sz w:val="24"/>
              <w:szCs w:val="24"/>
            </w:rPr>
            <w:fldChar w:fldCharType="begin"/>
          </w:r>
          <w:r>
            <w:rPr>
              <w:rFonts w:ascii="Times New Roman" w:eastAsia="宋体" w:cs="Times New Roman"/>
              <w:i w:val="0"/>
              <w:iCs w:val="0"/>
              <w:sz w:val="24"/>
              <w:szCs w:val="24"/>
            </w:rPr>
            <w:instrText xml:space="preserve"> PAGEREF _Toc77784259 \h </w:instrText>
          </w:r>
          <w:r>
            <w:rPr>
              <w:rFonts w:ascii="Times New Roman" w:eastAsia="宋体" w:cs="Times New Roman"/>
              <w:i w:val="0"/>
              <w:iCs w:val="0"/>
              <w:sz w:val="24"/>
              <w:szCs w:val="24"/>
            </w:rPr>
            <w:fldChar w:fldCharType="separate"/>
          </w:r>
          <w:r>
            <w:rPr>
              <w:rFonts w:ascii="Times New Roman" w:eastAsia="宋体" w:cs="Times New Roman"/>
              <w:i w:val="0"/>
              <w:iCs w:val="0"/>
              <w:sz w:val="24"/>
              <w:szCs w:val="24"/>
            </w:rPr>
            <w:t>21</w:t>
          </w:r>
          <w:r>
            <w:rPr>
              <w:rFonts w:ascii="Times New Roman" w:eastAsia="宋体" w:cs="Times New Roman"/>
              <w:i w:val="0"/>
              <w:iCs w:val="0"/>
              <w:sz w:val="24"/>
              <w:szCs w:val="24"/>
            </w:rPr>
            <w:fldChar w:fldCharType="end"/>
          </w:r>
          <w:r>
            <w:rPr>
              <w:rFonts w:ascii="Times New Roman" w:eastAsia="宋体" w:cs="Times New Roman"/>
              <w:i w:val="0"/>
              <w:iCs w:val="0"/>
              <w:sz w:val="24"/>
              <w:szCs w:val="24"/>
            </w:rPr>
            <w:fldChar w:fldCharType="end"/>
          </w:r>
        </w:p>
        <w:p w14:paraId="719BC9FC">
          <w:pPr>
            <w:pStyle w:val="8"/>
            <w:tabs>
              <w:tab w:val="right" w:leader="dot" w:pos="8296"/>
            </w:tabs>
            <w:spacing w:line="480" w:lineRule="exact"/>
            <w:ind w:firstLine="0" w:firstLineChars="0"/>
            <w:rPr>
              <w:rFonts w:ascii="Times New Roman" w:eastAsia="宋体" w:cs="Times New Roman"/>
              <w:i w:val="0"/>
              <w:iCs w:val="0"/>
              <w:sz w:val="24"/>
              <w:szCs w:val="24"/>
            </w:rPr>
          </w:pPr>
          <w:r>
            <w:fldChar w:fldCharType="begin"/>
          </w:r>
          <w:r>
            <w:instrText xml:space="preserve"> HYPERLINK \l "_Toc77784260" </w:instrText>
          </w:r>
          <w:r>
            <w:fldChar w:fldCharType="separate"/>
          </w:r>
          <w:r>
            <w:rPr>
              <w:rStyle w:val="25"/>
              <w:rFonts w:ascii="Times New Roman" w:eastAsia="宋体" w:cs="Times New Roman"/>
              <w:i w:val="0"/>
              <w:iCs w:val="0"/>
              <w:sz w:val="24"/>
              <w:szCs w:val="24"/>
            </w:rPr>
            <w:t>8.专项整治</w:t>
          </w:r>
          <w:r>
            <w:rPr>
              <w:rFonts w:ascii="Times New Roman" w:eastAsia="宋体" w:cs="Times New Roman"/>
              <w:i w:val="0"/>
              <w:iCs w:val="0"/>
              <w:sz w:val="24"/>
              <w:szCs w:val="24"/>
            </w:rPr>
            <w:tab/>
          </w:r>
          <w:r>
            <w:rPr>
              <w:rFonts w:ascii="Times New Roman" w:eastAsia="宋体" w:cs="Times New Roman"/>
              <w:i w:val="0"/>
              <w:iCs w:val="0"/>
              <w:sz w:val="24"/>
              <w:szCs w:val="24"/>
            </w:rPr>
            <w:fldChar w:fldCharType="begin"/>
          </w:r>
          <w:r>
            <w:rPr>
              <w:rFonts w:ascii="Times New Roman" w:eastAsia="宋体" w:cs="Times New Roman"/>
              <w:i w:val="0"/>
              <w:iCs w:val="0"/>
              <w:sz w:val="24"/>
              <w:szCs w:val="24"/>
            </w:rPr>
            <w:instrText xml:space="preserve"> PAGEREF _Toc77784260 \h </w:instrText>
          </w:r>
          <w:r>
            <w:rPr>
              <w:rFonts w:ascii="Times New Roman" w:eastAsia="宋体" w:cs="Times New Roman"/>
              <w:i w:val="0"/>
              <w:iCs w:val="0"/>
              <w:sz w:val="24"/>
              <w:szCs w:val="24"/>
            </w:rPr>
            <w:fldChar w:fldCharType="separate"/>
          </w:r>
          <w:r>
            <w:rPr>
              <w:rFonts w:ascii="Times New Roman" w:eastAsia="宋体" w:cs="Times New Roman"/>
              <w:i w:val="0"/>
              <w:iCs w:val="0"/>
              <w:sz w:val="24"/>
              <w:szCs w:val="24"/>
            </w:rPr>
            <w:t>22</w:t>
          </w:r>
          <w:r>
            <w:rPr>
              <w:rFonts w:ascii="Times New Roman" w:eastAsia="宋体" w:cs="Times New Roman"/>
              <w:i w:val="0"/>
              <w:iCs w:val="0"/>
              <w:sz w:val="24"/>
              <w:szCs w:val="24"/>
            </w:rPr>
            <w:fldChar w:fldCharType="end"/>
          </w:r>
          <w:r>
            <w:rPr>
              <w:rFonts w:ascii="Times New Roman" w:eastAsia="宋体" w:cs="Times New Roman"/>
              <w:i w:val="0"/>
              <w:iCs w:val="0"/>
              <w:sz w:val="24"/>
              <w:szCs w:val="24"/>
            </w:rPr>
            <w:fldChar w:fldCharType="end"/>
          </w:r>
        </w:p>
        <w:p w14:paraId="00A0C3E2">
          <w:pPr>
            <w:pStyle w:val="14"/>
            <w:ind w:firstLine="0" w:firstLineChars="0"/>
            <w:rPr>
              <w:rFonts w:ascii="Times New Roman" w:eastAsia="宋体" w:cs="Times New Roman"/>
              <w:sz w:val="24"/>
              <w:szCs w:val="24"/>
            </w:rPr>
          </w:pPr>
          <w:r>
            <w:fldChar w:fldCharType="begin"/>
          </w:r>
          <w:r>
            <w:instrText xml:space="preserve"> HYPERLINK \l "_Toc77784261" </w:instrText>
          </w:r>
          <w:r>
            <w:fldChar w:fldCharType="separate"/>
          </w:r>
          <w:r>
            <w:rPr>
              <w:rStyle w:val="25"/>
              <w:rFonts w:ascii="Times New Roman" w:eastAsia="宋体" w:cs="Times New Roman"/>
              <w:sz w:val="24"/>
              <w:szCs w:val="24"/>
            </w:rPr>
            <w:t>五、评价结论及措施</w:t>
          </w:r>
          <w:r>
            <w:rPr>
              <w:rFonts w:ascii="Times New Roman" w:eastAsia="宋体" w:cs="Times New Roman"/>
              <w:sz w:val="24"/>
              <w:szCs w:val="24"/>
            </w:rPr>
            <w:tab/>
          </w:r>
          <w:r>
            <w:rPr>
              <w:rFonts w:ascii="Times New Roman" w:eastAsia="宋体" w:cs="Times New Roman"/>
              <w:sz w:val="24"/>
              <w:szCs w:val="24"/>
            </w:rPr>
            <w:fldChar w:fldCharType="begin"/>
          </w:r>
          <w:r>
            <w:rPr>
              <w:rFonts w:ascii="Times New Roman" w:eastAsia="宋体" w:cs="Times New Roman"/>
              <w:sz w:val="24"/>
              <w:szCs w:val="24"/>
            </w:rPr>
            <w:instrText xml:space="preserve"> PAGEREF _Toc77784261 \h </w:instrText>
          </w:r>
          <w:r>
            <w:rPr>
              <w:rFonts w:ascii="Times New Roman" w:eastAsia="宋体" w:cs="Times New Roman"/>
              <w:sz w:val="24"/>
              <w:szCs w:val="24"/>
            </w:rPr>
            <w:fldChar w:fldCharType="separate"/>
          </w:r>
          <w:r>
            <w:rPr>
              <w:rFonts w:ascii="Times New Roman" w:eastAsia="宋体" w:cs="Times New Roman"/>
              <w:sz w:val="24"/>
              <w:szCs w:val="24"/>
            </w:rPr>
            <w:t>22</w:t>
          </w:r>
          <w:r>
            <w:rPr>
              <w:rFonts w:ascii="Times New Roman" w:eastAsia="宋体" w:cs="Times New Roman"/>
              <w:sz w:val="24"/>
              <w:szCs w:val="24"/>
            </w:rPr>
            <w:fldChar w:fldCharType="end"/>
          </w:r>
          <w:r>
            <w:rPr>
              <w:rFonts w:ascii="Times New Roman" w:eastAsia="宋体" w:cs="Times New Roman"/>
              <w:sz w:val="24"/>
              <w:szCs w:val="24"/>
            </w:rPr>
            <w:fldChar w:fldCharType="end"/>
          </w:r>
        </w:p>
        <w:p w14:paraId="328767FB">
          <w:pPr>
            <w:pStyle w:val="18"/>
            <w:tabs>
              <w:tab w:val="right" w:leader="dot" w:pos="8296"/>
            </w:tabs>
            <w:spacing w:line="480" w:lineRule="exact"/>
            <w:ind w:firstLine="0" w:firstLineChars="0"/>
            <w:rPr>
              <w:rFonts w:ascii="Times New Roman" w:eastAsia="宋体" w:cs="Times New Roman"/>
              <w:smallCaps w:val="0"/>
              <w:sz w:val="24"/>
              <w:szCs w:val="24"/>
            </w:rPr>
          </w:pPr>
          <w:r>
            <w:fldChar w:fldCharType="begin"/>
          </w:r>
          <w:r>
            <w:instrText xml:space="preserve"> HYPERLINK \l "_Toc77784262" </w:instrText>
          </w:r>
          <w:r>
            <w:fldChar w:fldCharType="separate"/>
          </w:r>
          <w:r>
            <w:rPr>
              <w:rStyle w:val="25"/>
              <w:rFonts w:ascii="Times New Roman" w:eastAsia="宋体" w:cs="Times New Roman"/>
              <w:sz w:val="24"/>
              <w:szCs w:val="24"/>
            </w:rPr>
            <w:t>（一）评价结论</w:t>
          </w:r>
          <w:r>
            <w:rPr>
              <w:rFonts w:ascii="Times New Roman" w:eastAsia="宋体" w:cs="Times New Roman"/>
              <w:sz w:val="24"/>
              <w:szCs w:val="24"/>
            </w:rPr>
            <w:tab/>
          </w:r>
          <w:r>
            <w:rPr>
              <w:rFonts w:ascii="Times New Roman" w:eastAsia="宋体" w:cs="Times New Roman"/>
              <w:sz w:val="24"/>
              <w:szCs w:val="24"/>
            </w:rPr>
            <w:fldChar w:fldCharType="begin"/>
          </w:r>
          <w:r>
            <w:rPr>
              <w:rFonts w:ascii="Times New Roman" w:eastAsia="宋体" w:cs="Times New Roman"/>
              <w:sz w:val="24"/>
              <w:szCs w:val="24"/>
            </w:rPr>
            <w:instrText xml:space="preserve"> PAGEREF _Toc77784262 \h </w:instrText>
          </w:r>
          <w:r>
            <w:rPr>
              <w:rFonts w:ascii="Times New Roman" w:eastAsia="宋体" w:cs="Times New Roman"/>
              <w:sz w:val="24"/>
              <w:szCs w:val="24"/>
            </w:rPr>
            <w:fldChar w:fldCharType="separate"/>
          </w:r>
          <w:r>
            <w:rPr>
              <w:rFonts w:ascii="Times New Roman" w:eastAsia="宋体" w:cs="Times New Roman"/>
              <w:sz w:val="24"/>
              <w:szCs w:val="24"/>
            </w:rPr>
            <w:t>22</w:t>
          </w:r>
          <w:r>
            <w:rPr>
              <w:rFonts w:ascii="Times New Roman" w:eastAsia="宋体" w:cs="Times New Roman"/>
              <w:sz w:val="24"/>
              <w:szCs w:val="24"/>
            </w:rPr>
            <w:fldChar w:fldCharType="end"/>
          </w:r>
          <w:r>
            <w:rPr>
              <w:rFonts w:ascii="Times New Roman" w:eastAsia="宋体" w:cs="Times New Roman"/>
              <w:sz w:val="24"/>
              <w:szCs w:val="24"/>
            </w:rPr>
            <w:fldChar w:fldCharType="end"/>
          </w:r>
        </w:p>
        <w:p w14:paraId="0FACC87A">
          <w:pPr>
            <w:pStyle w:val="18"/>
            <w:tabs>
              <w:tab w:val="right" w:leader="dot" w:pos="8296"/>
            </w:tabs>
            <w:spacing w:line="480" w:lineRule="exact"/>
            <w:ind w:firstLine="0" w:firstLineChars="0"/>
            <w:rPr>
              <w:rFonts w:ascii="Times New Roman" w:eastAsia="宋体" w:cs="Times New Roman"/>
              <w:smallCaps w:val="0"/>
              <w:sz w:val="24"/>
              <w:szCs w:val="24"/>
            </w:rPr>
          </w:pPr>
          <w:r>
            <w:fldChar w:fldCharType="begin"/>
          </w:r>
          <w:r>
            <w:instrText xml:space="preserve"> HYPERLINK \l "_Toc77784263" </w:instrText>
          </w:r>
          <w:r>
            <w:fldChar w:fldCharType="separate"/>
          </w:r>
          <w:r>
            <w:rPr>
              <w:rStyle w:val="25"/>
              <w:rFonts w:ascii="Times New Roman" w:eastAsia="宋体" w:cs="Times New Roman"/>
              <w:sz w:val="24"/>
              <w:szCs w:val="24"/>
            </w:rPr>
            <w:t>（二）存在问题</w:t>
          </w:r>
          <w:r>
            <w:rPr>
              <w:rFonts w:ascii="Times New Roman" w:eastAsia="宋体" w:cs="Times New Roman"/>
              <w:sz w:val="24"/>
              <w:szCs w:val="24"/>
            </w:rPr>
            <w:tab/>
          </w:r>
          <w:r>
            <w:rPr>
              <w:rFonts w:ascii="Times New Roman" w:eastAsia="宋体" w:cs="Times New Roman"/>
              <w:sz w:val="24"/>
              <w:szCs w:val="24"/>
            </w:rPr>
            <w:fldChar w:fldCharType="begin"/>
          </w:r>
          <w:r>
            <w:rPr>
              <w:rFonts w:ascii="Times New Roman" w:eastAsia="宋体" w:cs="Times New Roman"/>
              <w:sz w:val="24"/>
              <w:szCs w:val="24"/>
            </w:rPr>
            <w:instrText xml:space="preserve"> PAGEREF _Toc77784263 \h </w:instrText>
          </w:r>
          <w:r>
            <w:rPr>
              <w:rFonts w:ascii="Times New Roman" w:eastAsia="宋体" w:cs="Times New Roman"/>
              <w:sz w:val="24"/>
              <w:szCs w:val="24"/>
            </w:rPr>
            <w:fldChar w:fldCharType="separate"/>
          </w:r>
          <w:r>
            <w:rPr>
              <w:rFonts w:ascii="Times New Roman" w:eastAsia="宋体" w:cs="Times New Roman"/>
              <w:sz w:val="24"/>
              <w:szCs w:val="24"/>
            </w:rPr>
            <w:t>24</w:t>
          </w:r>
          <w:r>
            <w:rPr>
              <w:rFonts w:ascii="Times New Roman" w:eastAsia="宋体" w:cs="Times New Roman"/>
              <w:sz w:val="24"/>
              <w:szCs w:val="24"/>
            </w:rPr>
            <w:fldChar w:fldCharType="end"/>
          </w:r>
          <w:r>
            <w:rPr>
              <w:rFonts w:ascii="Times New Roman" w:eastAsia="宋体" w:cs="Times New Roman"/>
              <w:sz w:val="24"/>
              <w:szCs w:val="24"/>
            </w:rPr>
            <w:fldChar w:fldCharType="end"/>
          </w:r>
        </w:p>
        <w:p w14:paraId="7293A973">
          <w:pPr>
            <w:pStyle w:val="8"/>
            <w:tabs>
              <w:tab w:val="right" w:leader="dot" w:pos="8296"/>
            </w:tabs>
            <w:spacing w:line="480" w:lineRule="exact"/>
            <w:ind w:firstLine="0" w:firstLineChars="0"/>
            <w:rPr>
              <w:rFonts w:ascii="Times New Roman" w:eastAsia="宋体" w:cs="Times New Roman"/>
              <w:i w:val="0"/>
              <w:iCs w:val="0"/>
              <w:sz w:val="24"/>
              <w:szCs w:val="24"/>
            </w:rPr>
          </w:pPr>
          <w:r>
            <w:fldChar w:fldCharType="begin"/>
          </w:r>
          <w:r>
            <w:instrText xml:space="preserve"> HYPERLINK \l "_Toc77784264" </w:instrText>
          </w:r>
          <w:r>
            <w:fldChar w:fldCharType="separate"/>
          </w:r>
          <w:r>
            <w:rPr>
              <w:rStyle w:val="25"/>
              <w:rFonts w:ascii="Times New Roman" w:eastAsia="宋体" w:cs="Times New Roman"/>
              <w:i w:val="0"/>
              <w:iCs w:val="0"/>
              <w:sz w:val="24"/>
              <w:szCs w:val="24"/>
            </w:rPr>
            <w:t>1.内部管理制度未及时更新，与当前职能职责匹配度不高</w:t>
          </w:r>
          <w:r>
            <w:rPr>
              <w:rFonts w:ascii="Times New Roman" w:eastAsia="宋体" w:cs="Times New Roman"/>
              <w:i w:val="0"/>
              <w:iCs w:val="0"/>
              <w:sz w:val="24"/>
              <w:szCs w:val="24"/>
            </w:rPr>
            <w:tab/>
          </w:r>
          <w:r>
            <w:rPr>
              <w:rFonts w:ascii="Times New Roman" w:eastAsia="宋体" w:cs="Times New Roman"/>
              <w:i w:val="0"/>
              <w:iCs w:val="0"/>
              <w:sz w:val="24"/>
              <w:szCs w:val="24"/>
            </w:rPr>
            <w:fldChar w:fldCharType="begin"/>
          </w:r>
          <w:r>
            <w:rPr>
              <w:rFonts w:ascii="Times New Roman" w:eastAsia="宋体" w:cs="Times New Roman"/>
              <w:i w:val="0"/>
              <w:iCs w:val="0"/>
              <w:sz w:val="24"/>
              <w:szCs w:val="24"/>
            </w:rPr>
            <w:instrText xml:space="preserve"> PAGEREF _Toc77784264 \h </w:instrText>
          </w:r>
          <w:r>
            <w:rPr>
              <w:rFonts w:ascii="Times New Roman" w:eastAsia="宋体" w:cs="Times New Roman"/>
              <w:i w:val="0"/>
              <w:iCs w:val="0"/>
              <w:sz w:val="24"/>
              <w:szCs w:val="24"/>
            </w:rPr>
            <w:fldChar w:fldCharType="separate"/>
          </w:r>
          <w:r>
            <w:rPr>
              <w:rFonts w:ascii="Times New Roman" w:eastAsia="宋体" w:cs="Times New Roman"/>
              <w:i w:val="0"/>
              <w:iCs w:val="0"/>
              <w:sz w:val="24"/>
              <w:szCs w:val="24"/>
            </w:rPr>
            <w:t>24</w:t>
          </w:r>
          <w:r>
            <w:rPr>
              <w:rFonts w:ascii="Times New Roman" w:eastAsia="宋体" w:cs="Times New Roman"/>
              <w:i w:val="0"/>
              <w:iCs w:val="0"/>
              <w:sz w:val="24"/>
              <w:szCs w:val="24"/>
            </w:rPr>
            <w:fldChar w:fldCharType="end"/>
          </w:r>
          <w:r>
            <w:rPr>
              <w:rFonts w:ascii="Times New Roman" w:eastAsia="宋体" w:cs="Times New Roman"/>
              <w:i w:val="0"/>
              <w:iCs w:val="0"/>
              <w:sz w:val="24"/>
              <w:szCs w:val="24"/>
            </w:rPr>
            <w:fldChar w:fldCharType="end"/>
          </w:r>
        </w:p>
        <w:p w14:paraId="25D8A105">
          <w:pPr>
            <w:pStyle w:val="8"/>
            <w:tabs>
              <w:tab w:val="right" w:leader="dot" w:pos="8296"/>
            </w:tabs>
            <w:spacing w:line="480" w:lineRule="exact"/>
            <w:ind w:firstLine="0" w:firstLineChars="0"/>
            <w:rPr>
              <w:rFonts w:ascii="Times New Roman" w:eastAsia="宋体" w:cs="Times New Roman"/>
              <w:i w:val="0"/>
              <w:iCs w:val="0"/>
              <w:sz w:val="24"/>
              <w:szCs w:val="24"/>
            </w:rPr>
          </w:pPr>
          <w:r>
            <w:fldChar w:fldCharType="begin"/>
          </w:r>
          <w:r>
            <w:instrText xml:space="preserve"> HYPERLINK \l "_Toc77784265" </w:instrText>
          </w:r>
          <w:r>
            <w:fldChar w:fldCharType="separate"/>
          </w:r>
          <w:r>
            <w:rPr>
              <w:rStyle w:val="25"/>
              <w:rFonts w:ascii="Times New Roman" w:eastAsia="宋体" w:cs="Times New Roman"/>
              <w:i w:val="0"/>
              <w:iCs w:val="0"/>
              <w:sz w:val="24"/>
              <w:szCs w:val="24"/>
            </w:rPr>
            <w:t>2.绩效目标管理不到位，项目监控能力有待提升</w:t>
          </w:r>
          <w:r>
            <w:rPr>
              <w:rFonts w:ascii="Times New Roman" w:eastAsia="宋体" w:cs="Times New Roman"/>
              <w:i w:val="0"/>
              <w:iCs w:val="0"/>
              <w:sz w:val="24"/>
              <w:szCs w:val="24"/>
            </w:rPr>
            <w:tab/>
          </w:r>
          <w:r>
            <w:rPr>
              <w:rFonts w:ascii="Times New Roman" w:eastAsia="宋体" w:cs="Times New Roman"/>
              <w:i w:val="0"/>
              <w:iCs w:val="0"/>
              <w:sz w:val="24"/>
              <w:szCs w:val="24"/>
            </w:rPr>
            <w:fldChar w:fldCharType="begin"/>
          </w:r>
          <w:r>
            <w:rPr>
              <w:rFonts w:ascii="Times New Roman" w:eastAsia="宋体" w:cs="Times New Roman"/>
              <w:i w:val="0"/>
              <w:iCs w:val="0"/>
              <w:sz w:val="24"/>
              <w:szCs w:val="24"/>
            </w:rPr>
            <w:instrText xml:space="preserve"> PAGEREF _Toc77784265 \h </w:instrText>
          </w:r>
          <w:r>
            <w:rPr>
              <w:rFonts w:ascii="Times New Roman" w:eastAsia="宋体" w:cs="Times New Roman"/>
              <w:i w:val="0"/>
              <w:iCs w:val="0"/>
              <w:sz w:val="24"/>
              <w:szCs w:val="24"/>
            </w:rPr>
            <w:fldChar w:fldCharType="separate"/>
          </w:r>
          <w:r>
            <w:rPr>
              <w:rFonts w:ascii="Times New Roman" w:eastAsia="宋体" w:cs="Times New Roman"/>
              <w:i w:val="0"/>
              <w:iCs w:val="0"/>
              <w:sz w:val="24"/>
              <w:szCs w:val="24"/>
            </w:rPr>
            <w:t>24</w:t>
          </w:r>
          <w:r>
            <w:rPr>
              <w:rFonts w:ascii="Times New Roman" w:eastAsia="宋体" w:cs="Times New Roman"/>
              <w:i w:val="0"/>
              <w:iCs w:val="0"/>
              <w:sz w:val="24"/>
              <w:szCs w:val="24"/>
            </w:rPr>
            <w:fldChar w:fldCharType="end"/>
          </w:r>
          <w:r>
            <w:rPr>
              <w:rFonts w:ascii="Times New Roman" w:eastAsia="宋体" w:cs="Times New Roman"/>
              <w:i w:val="0"/>
              <w:iCs w:val="0"/>
              <w:sz w:val="24"/>
              <w:szCs w:val="24"/>
            </w:rPr>
            <w:fldChar w:fldCharType="end"/>
          </w:r>
        </w:p>
        <w:p w14:paraId="02A5FED5">
          <w:pPr>
            <w:pStyle w:val="8"/>
            <w:tabs>
              <w:tab w:val="right" w:leader="dot" w:pos="8296"/>
            </w:tabs>
            <w:spacing w:line="480" w:lineRule="exact"/>
            <w:ind w:firstLine="0" w:firstLineChars="0"/>
            <w:rPr>
              <w:rFonts w:ascii="Times New Roman" w:eastAsia="宋体" w:cs="Times New Roman"/>
              <w:i w:val="0"/>
              <w:iCs w:val="0"/>
              <w:sz w:val="24"/>
              <w:szCs w:val="24"/>
            </w:rPr>
          </w:pPr>
          <w:r>
            <w:fldChar w:fldCharType="begin"/>
          </w:r>
          <w:r>
            <w:instrText xml:space="preserve"> HYPERLINK \l "_Toc77784266" </w:instrText>
          </w:r>
          <w:r>
            <w:fldChar w:fldCharType="separate"/>
          </w:r>
          <w:r>
            <w:rPr>
              <w:rStyle w:val="25"/>
              <w:rFonts w:ascii="Times New Roman" w:eastAsia="宋体" w:cs="Times New Roman"/>
              <w:i w:val="0"/>
              <w:iCs w:val="0"/>
              <w:sz w:val="24"/>
              <w:szCs w:val="24"/>
            </w:rPr>
            <w:t>3.预算编制不精准，中期预算调整增幅较大</w:t>
          </w:r>
          <w:r>
            <w:rPr>
              <w:rFonts w:ascii="Times New Roman" w:eastAsia="宋体" w:cs="Times New Roman"/>
              <w:i w:val="0"/>
              <w:iCs w:val="0"/>
              <w:sz w:val="24"/>
              <w:szCs w:val="24"/>
            </w:rPr>
            <w:tab/>
          </w:r>
          <w:r>
            <w:rPr>
              <w:rFonts w:ascii="Times New Roman" w:eastAsia="宋体" w:cs="Times New Roman"/>
              <w:i w:val="0"/>
              <w:iCs w:val="0"/>
              <w:sz w:val="24"/>
              <w:szCs w:val="24"/>
            </w:rPr>
            <w:fldChar w:fldCharType="begin"/>
          </w:r>
          <w:r>
            <w:rPr>
              <w:rFonts w:ascii="Times New Roman" w:eastAsia="宋体" w:cs="Times New Roman"/>
              <w:i w:val="0"/>
              <w:iCs w:val="0"/>
              <w:sz w:val="24"/>
              <w:szCs w:val="24"/>
            </w:rPr>
            <w:instrText xml:space="preserve"> PAGEREF _Toc77784266 \h </w:instrText>
          </w:r>
          <w:r>
            <w:rPr>
              <w:rFonts w:ascii="Times New Roman" w:eastAsia="宋体" w:cs="Times New Roman"/>
              <w:i w:val="0"/>
              <w:iCs w:val="0"/>
              <w:sz w:val="24"/>
              <w:szCs w:val="24"/>
            </w:rPr>
            <w:fldChar w:fldCharType="separate"/>
          </w:r>
          <w:r>
            <w:rPr>
              <w:rFonts w:ascii="Times New Roman" w:eastAsia="宋体" w:cs="Times New Roman"/>
              <w:i w:val="0"/>
              <w:iCs w:val="0"/>
              <w:sz w:val="24"/>
              <w:szCs w:val="24"/>
            </w:rPr>
            <w:t>25</w:t>
          </w:r>
          <w:r>
            <w:rPr>
              <w:rFonts w:ascii="Times New Roman" w:eastAsia="宋体" w:cs="Times New Roman"/>
              <w:i w:val="0"/>
              <w:iCs w:val="0"/>
              <w:sz w:val="24"/>
              <w:szCs w:val="24"/>
            </w:rPr>
            <w:fldChar w:fldCharType="end"/>
          </w:r>
          <w:r>
            <w:rPr>
              <w:rFonts w:ascii="Times New Roman" w:eastAsia="宋体" w:cs="Times New Roman"/>
              <w:i w:val="0"/>
              <w:iCs w:val="0"/>
              <w:sz w:val="24"/>
              <w:szCs w:val="24"/>
            </w:rPr>
            <w:fldChar w:fldCharType="end"/>
          </w:r>
        </w:p>
        <w:p w14:paraId="352DE5D4">
          <w:pPr>
            <w:pStyle w:val="18"/>
            <w:tabs>
              <w:tab w:val="right" w:leader="dot" w:pos="8296"/>
            </w:tabs>
            <w:spacing w:line="480" w:lineRule="exact"/>
            <w:ind w:firstLine="0" w:firstLineChars="0"/>
            <w:rPr>
              <w:rFonts w:ascii="Times New Roman" w:eastAsia="宋体" w:cs="Times New Roman"/>
              <w:smallCaps w:val="0"/>
              <w:sz w:val="24"/>
              <w:szCs w:val="24"/>
            </w:rPr>
          </w:pPr>
          <w:r>
            <w:fldChar w:fldCharType="begin"/>
          </w:r>
          <w:r>
            <w:instrText xml:space="preserve"> HYPERLINK \l "_Toc77784267" </w:instrText>
          </w:r>
          <w:r>
            <w:fldChar w:fldCharType="separate"/>
          </w:r>
          <w:r>
            <w:rPr>
              <w:rStyle w:val="25"/>
              <w:rFonts w:ascii="Times New Roman" w:eastAsia="宋体" w:cs="Times New Roman"/>
              <w:sz w:val="24"/>
              <w:szCs w:val="24"/>
            </w:rPr>
            <w:t>（三）相关建议</w:t>
          </w:r>
          <w:r>
            <w:rPr>
              <w:rFonts w:ascii="Times New Roman" w:eastAsia="宋体" w:cs="Times New Roman"/>
              <w:sz w:val="24"/>
              <w:szCs w:val="24"/>
            </w:rPr>
            <w:tab/>
          </w:r>
          <w:r>
            <w:rPr>
              <w:rFonts w:ascii="Times New Roman" w:eastAsia="宋体" w:cs="Times New Roman"/>
              <w:sz w:val="24"/>
              <w:szCs w:val="24"/>
            </w:rPr>
            <w:fldChar w:fldCharType="begin"/>
          </w:r>
          <w:r>
            <w:rPr>
              <w:rFonts w:ascii="Times New Roman" w:eastAsia="宋体" w:cs="Times New Roman"/>
              <w:sz w:val="24"/>
              <w:szCs w:val="24"/>
            </w:rPr>
            <w:instrText xml:space="preserve"> PAGEREF _Toc77784267 \h </w:instrText>
          </w:r>
          <w:r>
            <w:rPr>
              <w:rFonts w:ascii="Times New Roman" w:eastAsia="宋体" w:cs="Times New Roman"/>
              <w:sz w:val="24"/>
              <w:szCs w:val="24"/>
            </w:rPr>
            <w:fldChar w:fldCharType="separate"/>
          </w:r>
          <w:r>
            <w:rPr>
              <w:rFonts w:ascii="Times New Roman" w:eastAsia="宋体" w:cs="Times New Roman"/>
              <w:sz w:val="24"/>
              <w:szCs w:val="24"/>
            </w:rPr>
            <w:t>26</w:t>
          </w:r>
          <w:r>
            <w:rPr>
              <w:rFonts w:ascii="Times New Roman" w:eastAsia="宋体" w:cs="Times New Roman"/>
              <w:sz w:val="24"/>
              <w:szCs w:val="24"/>
            </w:rPr>
            <w:fldChar w:fldCharType="end"/>
          </w:r>
          <w:r>
            <w:rPr>
              <w:rFonts w:ascii="Times New Roman" w:eastAsia="宋体" w:cs="Times New Roman"/>
              <w:sz w:val="24"/>
              <w:szCs w:val="24"/>
            </w:rPr>
            <w:fldChar w:fldCharType="end"/>
          </w:r>
        </w:p>
        <w:p w14:paraId="3CD6D58D">
          <w:pPr>
            <w:pStyle w:val="8"/>
            <w:tabs>
              <w:tab w:val="right" w:leader="dot" w:pos="8296"/>
            </w:tabs>
            <w:spacing w:line="480" w:lineRule="exact"/>
            <w:ind w:firstLine="0" w:firstLineChars="0"/>
            <w:rPr>
              <w:rFonts w:ascii="Times New Roman" w:eastAsia="宋体" w:cs="Times New Roman"/>
              <w:i w:val="0"/>
              <w:iCs w:val="0"/>
              <w:sz w:val="24"/>
              <w:szCs w:val="24"/>
            </w:rPr>
          </w:pPr>
          <w:r>
            <w:fldChar w:fldCharType="begin"/>
          </w:r>
          <w:r>
            <w:instrText xml:space="preserve"> HYPERLINK \l "_Toc77784268" </w:instrText>
          </w:r>
          <w:r>
            <w:fldChar w:fldCharType="separate"/>
          </w:r>
          <w:r>
            <w:rPr>
              <w:rStyle w:val="25"/>
              <w:rFonts w:ascii="Times New Roman" w:eastAsia="宋体" w:cs="Times New Roman"/>
              <w:i w:val="0"/>
              <w:iCs w:val="0"/>
              <w:sz w:val="24"/>
              <w:szCs w:val="24"/>
            </w:rPr>
            <w:t>1.梳理部门职能职责，完善相关管理制度</w:t>
          </w:r>
          <w:r>
            <w:rPr>
              <w:rFonts w:ascii="Times New Roman" w:eastAsia="宋体" w:cs="Times New Roman"/>
              <w:i w:val="0"/>
              <w:iCs w:val="0"/>
              <w:sz w:val="24"/>
              <w:szCs w:val="24"/>
            </w:rPr>
            <w:tab/>
          </w:r>
          <w:r>
            <w:rPr>
              <w:rFonts w:ascii="Times New Roman" w:eastAsia="宋体" w:cs="Times New Roman"/>
              <w:i w:val="0"/>
              <w:iCs w:val="0"/>
              <w:sz w:val="24"/>
              <w:szCs w:val="24"/>
            </w:rPr>
            <w:fldChar w:fldCharType="begin"/>
          </w:r>
          <w:r>
            <w:rPr>
              <w:rFonts w:ascii="Times New Roman" w:eastAsia="宋体" w:cs="Times New Roman"/>
              <w:i w:val="0"/>
              <w:iCs w:val="0"/>
              <w:sz w:val="24"/>
              <w:szCs w:val="24"/>
            </w:rPr>
            <w:instrText xml:space="preserve"> PAGEREF _Toc77784268 \h </w:instrText>
          </w:r>
          <w:r>
            <w:rPr>
              <w:rFonts w:ascii="Times New Roman" w:eastAsia="宋体" w:cs="Times New Roman"/>
              <w:i w:val="0"/>
              <w:iCs w:val="0"/>
              <w:sz w:val="24"/>
              <w:szCs w:val="24"/>
            </w:rPr>
            <w:fldChar w:fldCharType="separate"/>
          </w:r>
          <w:r>
            <w:rPr>
              <w:rFonts w:ascii="Times New Roman" w:eastAsia="宋体" w:cs="Times New Roman"/>
              <w:i w:val="0"/>
              <w:iCs w:val="0"/>
              <w:sz w:val="24"/>
              <w:szCs w:val="24"/>
            </w:rPr>
            <w:t>26</w:t>
          </w:r>
          <w:r>
            <w:rPr>
              <w:rFonts w:ascii="Times New Roman" w:eastAsia="宋体" w:cs="Times New Roman"/>
              <w:i w:val="0"/>
              <w:iCs w:val="0"/>
              <w:sz w:val="24"/>
              <w:szCs w:val="24"/>
            </w:rPr>
            <w:fldChar w:fldCharType="end"/>
          </w:r>
          <w:r>
            <w:rPr>
              <w:rFonts w:ascii="Times New Roman" w:eastAsia="宋体" w:cs="Times New Roman"/>
              <w:i w:val="0"/>
              <w:iCs w:val="0"/>
              <w:sz w:val="24"/>
              <w:szCs w:val="24"/>
            </w:rPr>
            <w:fldChar w:fldCharType="end"/>
          </w:r>
        </w:p>
        <w:p w14:paraId="18CB6368">
          <w:pPr>
            <w:pStyle w:val="8"/>
            <w:tabs>
              <w:tab w:val="right" w:leader="dot" w:pos="8296"/>
            </w:tabs>
            <w:spacing w:line="480" w:lineRule="exact"/>
            <w:ind w:firstLine="0" w:firstLineChars="0"/>
            <w:rPr>
              <w:rFonts w:ascii="Times New Roman" w:eastAsia="宋体" w:cs="Times New Roman"/>
              <w:i w:val="0"/>
              <w:iCs w:val="0"/>
              <w:sz w:val="24"/>
              <w:szCs w:val="24"/>
            </w:rPr>
          </w:pPr>
          <w:r>
            <w:fldChar w:fldCharType="begin"/>
          </w:r>
          <w:r>
            <w:instrText xml:space="preserve"> HYPERLINK \l "_Toc77784269" </w:instrText>
          </w:r>
          <w:r>
            <w:fldChar w:fldCharType="separate"/>
          </w:r>
          <w:r>
            <w:rPr>
              <w:rStyle w:val="25"/>
              <w:rFonts w:ascii="Times New Roman" w:eastAsia="宋体" w:cs="Times New Roman"/>
              <w:i w:val="0"/>
              <w:iCs w:val="0"/>
              <w:sz w:val="24"/>
              <w:szCs w:val="24"/>
            </w:rPr>
            <w:t>2.优化绩效目标编制，增强指标指引价值</w:t>
          </w:r>
          <w:r>
            <w:rPr>
              <w:rFonts w:ascii="Times New Roman" w:eastAsia="宋体" w:cs="Times New Roman"/>
              <w:i w:val="0"/>
              <w:iCs w:val="0"/>
              <w:sz w:val="24"/>
              <w:szCs w:val="24"/>
            </w:rPr>
            <w:tab/>
          </w:r>
          <w:r>
            <w:rPr>
              <w:rFonts w:ascii="Times New Roman" w:eastAsia="宋体" w:cs="Times New Roman"/>
              <w:i w:val="0"/>
              <w:iCs w:val="0"/>
              <w:sz w:val="24"/>
              <w:szCs w:val="24"/>
            </w:rPr>
            <w:fldChar w:fldCharType="begin"/>
          </w:r>
          <w:r>
            <w:rPr>
              <w:rFonts w:ascii="Times New Roman" w:eastAsia="宋体" w:cs="Times New Roman"/>
              <w:i w:val="0"/>
              <w:iCs w:val="0"/>
              <w:sz w:val="24"/>
              <w:szCs w:val="24"/>
            </w:rPr>
            <w:instrText xml:space="preserve"> PAGEREF _Toc77784269 \h </w:instrText>
          </w:r>
          <w:r>
            <w:rPr>
              <w:rFonts w:ascii="Times New Roman" w:eastAsia="宋体" w:cs="Times New Roman"/>
              <w:i w:val="0"/>
              <w:iCs w:val="0"/>
              <w:sz w:val="24"/>
              <w:szCs w:val="24"/>
            </w:rPr>
            <w:fldChar w:fldCharType="separate"/>
          </w:r>
          <w:r>
            <w:rPr>
              <w:rFonts w:ascii="Times New Roman" w:eastAsia="宋体" w:cs="Times New Roman"/>
              <w:i w:val="0"/>
              <w:iCs w:val="0"/>
              <w:sz w:val="24"/>
              <w:szCs w:val="24"/>
            </w:rPr>
            <w:t>26</w:t>
          </w:r>
          <w:r>
            <w:rPr>
              <w:rFonts w:ascii="Times New Roman" w:eastAsia="宋体" w:cs="Times New Roman"/>
              <w:i w:val="0"/>
              <w:iCs w:val="0"/>
              <w:sz w:val="24"/>
              <w:szCs w:val="24"/>
            </w:rPr>
            <w:fldChar w:fldCharType="end"/>
          </w:r>
          <w:r>
            <w:rPr>
              <w:rFonts w:ascii="Times New Roman" w:eastAsia="宋体" w:cs="Times New Roman"/>
              <w:i w:val="0"/>
              <w:iCs w:val="0"/>
              <w:sz w:val="24"/>
              <w:szCs w:val="24"/>
            </w:rPr>
            <w:fldChar w:fldCharType="end"/>
          </w:r>
        </w:p>
        <w:p w14:paraId="4DB156CF">
          <w:pPr>
            <w:pStyle w:val="8"/>
            <w:tabs>
              <w:tab w:val="right" w:leader="dot" w:pos="8296"/>
            </w:tabs>
            <w:spacing w:line="480" w:lineRule="exact"/>
            <w:ind w:firstLine="0" w:firstLineChars="0"/>
            <w:rPr>
              <w:rFonts w:ascii="Times New Roman" w:eastAsia="宋体" w:cs="Times New Roman"/>
              <w:i w:val="0"/>
              <w:iCs w:val="0"/>
              <w:sz w:val="24"/>
              <w:szCs w:val="24"/>
            </w:rPr>
          </w:pPr>
          <w:r>
            <w:fldChar w:fldCharType="begin"/>
          </w:r>
          <w:r>
            <w:instrText xml:space="preserve"> HYPERLINK \l "_Toc77784270" </w:instrText>
          </w:r>
          <w:r>
            <w:fldChar w:fldCharType="separate"/>
          </w:r>
          <w:r>
            <w:rPr>
              <w:rStyle w:val="25"/>
              <w:rFonts w:ascii="Times New Roman" w:eastAsia="宋体" w:cs="Times New Roman"/>
              <w:i w:val="0"/>
              <w:iCs w:val="0"/>
              <w:sz w:val="24"/>
              <w:szCs w:val="24"/>
            </w:rPr>
            <w:t>3.强化预算编制把控能力，制定预算编制操作手册</w:t>
          </w:r>
          <w:r>
            <w:rPr>
              <w:rFonts w:ascii="Times New Roman" w:eastAsia="宋体" w:cs="Times New Roman"/>
              <w:i w:val="0"/>
              <w:iCs w:val="0"/>
              <w:sz w:val="24"/>
              <w:szCs w:val="24"/>
            </w:rPr>
            <w:tab/>
          </w:r>
          <w:r>
            <w:rPr>
              <w:rFonts w:ascii="Times New Roman" w:eastAsia="宋体" w:cs="Times New Roman"/>
              <w:i w:val="0"/>
              <w:iCs w:val="0"/>
              <w:sz w:val="24"/>
              <w:szCs w:val="24"/>
            </w:rPr>
            <w:fldChar w:fldCharType="begin"/>
          </w:r>
          <w:r>
            <w:rPr>
              <w:rFonts w:ascii="Times New Roman" w:eastAsia="宋体" w:cs="Times New Roman"/>
              <w:i w:val="0"/>
              <w:iCs w:val="0"/>
              <w:sz w:val="24"/>
              <w:szCs w:val="24"/>
            </w:rPr>
            <w:instrText xml:space="preserve"> PAGEREF _Toc77784270 \h </w:instrText>
          </w:r>
          <w:r>
            <w:rPr>
              <w:rFonts w:ascii="Times New Roman" w:eastAsia="宋体" w:cs="Times New Roman"/>
              <w:i w:val="0"/>
              <w:iCs w:val="0"/>
              <w:sz w:val="24"/>
              <w:szCs w:val="24"/>
            </w:rPr>
            <w:fldChar w:fldCharType="separate"/>
          </w:r>
          <w:r>
            <w:rPr>
              <w:rFonts w:ascii="Times New Roman" w:eastAsia="宋体" w:cs="Times New Roman"/>
              <w:i w:val="0"/>
              <w:iCs w:val="0"/>
              <w:sz w:val="24"/>
              <w:szCs w:val="24"/>
            </w:rPr>
            <w:t>27</w:t>
          </w:r>
          <w:r>
            <w:rPr>
              <w:rFonts w:ascii="Times New Roman" w:eastAsia="宋体" w:cs="Times New Roman"/>
              <w:i w:val="0"/>
              <w:iCs w:val="0"/>
              <w:sz w:val="24"/>
              <w:szCs w:val="24"/>
            </w:rPr>
            <w:fldChar w:fldCharType="end"/>
          </w:r>
          <w:r>
            <w:rPr>
              <w:rFonts w:ascii="Times New Roman" w:eastAsia="宋体" w:cs="Times New Roman"/>
              <w:i w:val="0"/>
              <w:iCs w:val="0"/>
              <w:sz w:val="24"/>
              <w:szCs w:val="24"/>
            </w:rPr>
            <w:fldChar w:fldCharType="end"/>
          </w:r>
        </w:p>
        <w:p w14:paraId="275C2EB9">
          <w:pPr>
            <w:pStyle w:val="14"/>
            <w:ind w:firstLine="0" w:firstLineChars="0"/>
            <w:rPr>
              <w:rFonts w:ascii="Times New Roman" w:cs="Times New Roman"/>
            </w:rPr>
          </w:pPr>
          <w:r>
            <w:fldChar w:fldCharType="begin"/>
          </w:r>
          <w:r>
            <w:instrText xml:space="preserve"> HYPERLINK \l "_Toc77784271" </w:instrText>
          </w:r>
          <w:r>
            <w:fldChar w:fldCharType="separate"/>
          </w:r>
          <w:r>
            <w:rPr>
              <w:rStyle w:val="25"/>
              <w:rFonts w:ascii="Times New Roman" w:eastAsia="宋体" w:cs="Times New Roman"/>
              <w:sz w:val="24"/>
              <w:szCs w:val="24"/>
            </w:rPr>
            <w:t>附件绵竹市2020年自然资源和规划局部门整体支出绩效评价指标得分表</w:t>
          </w:r>
          <w:r>
            <w:rPr>
              <w:rFonts w:ascii="Times New Roman" w:eastAsia="宋体" w:cs="Times New Roman"/>
              <w:sz w:val="24"/>
              <w:szCs w:val="24"/>
            </w:rPr>
            <w:tab/>
          </w:r>
          <w:r>
            <w:rPr>
              <w:rFonts w:ascii="Times New Roman" w:eastAsia="宋体" w:cs="Times New Roman"/>
              <w:sz w:val="24"/>
              <w:szCs w:val="24"/>
            </w:rPr>
            <w:fldChar w:fldCharType="begin"/>
          </w:r>
          <w:r>
            <w:rPr>
              <w:rFonts w:ascii="Times New Roman" w:eastAsia="宋体" w:cs="Times New Roman"/>
              <w:sz w:val="24"/>
              <w:szCs w:val="24"/>
            </w:rPr>
            <w:instrText xml:space="preserve"> PAGEREF _Toc77784271 \h </w:instrText>
          </w:r>
          <w:r>
            <w:rPr>
              <w:rFonts w:ascii="Times New Roman" w:eastAsia="宋体" w:cs="Times New Roman"/>
              <w:sz w:val="24"/>
              <w:szCs w:val="24"/>
            </w:rPr>
            <w:fldChar w:fldCharType="separate"/>
          </w:r>
          <w:r>
            <w:rPr>
              <w:rFonts w:ascii="Times New Roman" w:eastAsia="宋体" w:cs="Times New Roman"/>
              <w:sz w:val="24"/>
              <w:szCs w:val="24"/>
            </w:rPr>
            <w:t>28</w:t>
          </w:r>
          <w:r>
            <w:rPr>
              <w:rFonts w:ascii="Times New Roman" w:eastAsia="宋体" w:cs="Times New Roman"/>
              <w:sz w:val="24"/>
              <w:szCs w:val="24"/>
            </w:rPr>
            <w:fldChar w:fldCharType="end"/>
          </w:r>
          <w:r>
            <w:rPr>
              <w:rFonts w:ascii="Times New Roman" w:eastAsia="宋体" w:cs="Times New Roman"/>
              <w:sz w:val="24"/>
              <w:szCs w:val="24"/>
            </w:rPr>
            <w:fldChar w:fldCharType="end"/>
          </w:r>
        </w:p>
        <w:p w14:paraId="16793BC9">
          <w:pPr>
            <w:ind w:firstLine="0" w:firstLineChars="0"/>
            <w:rPr>
              <w:rFonts w:cs="Times New Roman"/>
            </w:rPr>
          </w:pPr>
          <w:r>
            <w:rPr>
              <w:rFonts w:cs="Times New Roman"/>
              <w:b/>
              <w:bCs/>
              <w:lang w:val="zh-CN"/>
            </w:rPr>
            <w:fldChar w:fldCharType="end"/>
          </w:r>
        </w:p>
      </w:sdtContent>
    </w:sdt>
    <w:p w14:paraId="43F759EC">
      <w:pPr>
        <w:widowControl/>
        <w:spacing w:line="240" w:lineRule="auto"/>
        <w:ind w:firstLine="0" w:firstLineChars="0"/>
        <w:jc w:val="left"/>
        <w:rPr>
          <w:rFonts w:eastAsia="仿宋_GB2312" w:cs="Times New Roman"/>
          <w:sz w:val="32"/>
          <w:szCs w:val="24"/>
        </w:rPr>
      </w:pPr>
      <w:r>
        <w:rPr>
          <w:rFonts w:eastAsia="仿宋_GB2312" w:cs="Times New Roman"/>
          <w:sz w:val="32"/>
          <w:szCs w:val="24"/>
        </w:rPr>
        <w:br w:type="page"/>
      </w:r>
    </w:p>
    <w:p w14:paraId="4B2B779A">
      <w:pPr>
        <w:widowControl/>
        <w:spacing w:line="240" w:lineRule="auto"/>
        <w:ind w:firstLine="0" w:firstLineChars="0"/>
        <w:jc w:val="left"/>
        <w:rPr>
          <w:rFonts w:eastAsia="仿宋_GB2312" w:cs="Times New Roman"/>
          <w:sz w:val="32"/>
          <w:szCs w:val="24"/>
        </w:rPr>
        <w:sectPr>
          <w:type w:val="continuous"/>
          <w:pgSz w:w="11906" w:h="16838"/>
          <w:pgMar w:top="1440" w:right="1800" w:bottom="1440" w:left="1800" w:header="851" w:footer="992" w:gutter="0"/>
          <w:pgNumType w:start="1"/>
          <w:cols w:space="425" w:num="1"/>
          <w:docGrid w:type="lines" w:linePitch="312" w:charSpace="0"/>
        </w:sectPr>
      </w:pPr>
    </w:p>
    <w:p w14:paraId="04BD94F3">
      <w:pPr>
        <w:autoSpaceDE w:val="0"/>
        <w:autoSpaceDN w:val="0"/>
        <w:adjustRightInd w:val="0"/>
        <w:spacing w:before="217" w:after="156" w:afterLines="50"/>
        <w:ind w:firstLine="0" w:firstLineChars="0"/>
        <w:jc w:val="center"/>
        <w:rPr>
          <w:rFonts w:eastAsia="方正小标宋_GBK" w:cs="Times New Roman"/>
          <w:b/>
          <w:bCs/>
          <w:sz w:val="44"/>
          <w:szCs w:val="44"/>
        </w:rPr>
      </w:pPr>
      <w:r>
        <w:rPr>
          <w:rFonts w:hint="eastAsia" w:eastAsia="方正小标宋_GBK" w:cs="Times New Roman"/>
          <w:b/>
          <w:bCs/>
          <w:sz w:val="44"/>
          <w:szCs w:val="44"/>
        </w:rPr>
        <w:t>绵竹市2</w:t>
      </w:r>
      <w:r>
        <w:rPr>
          <w:rFonts w:eastAsia="方正小标宋_GBK" w:cs="Times New Roman"/>
          <w:b/>
          <w:bCs/>
          <w:sz w:val="44"/>
          <w:szCs w:val="44"/>
        </w:rPr>
        <w:t>020</w:t>
      </w:r>
      <w:r>
        <w:rPr>
          <w:rFonts w:hint="eastAsia" w:eastAsia="方正小标宋_GBK" w:cs="Times New Roman"/>
          <w:b/>
          <w:bCs/>
          <w:sz w:val="44"/>
          <w:szCs w:val="44"/>
        </w:rPr>
        <w:t>年自然资源和规划局</w:t>
      </w:r>
    </w:p>
    <w:p w14:paraId="7807DD2F">
      <w:pPr>
        <w:autoSpaceDE w:val="0"/>
        <w:autoSpaceDN w:val="0"/>
        <w:adjustRightInd w:val="0"/>
        <w:spacing w:before="217" w:after="156" w:afterLines="50"/>
        <w:ind w:firstLine="0" w:firstLineChars="0"/>
        <w:jc w:val="center"/>
        <w:rPr>
          <w:rFonts w:eastAsia="方正小标宋_GBK" w:cs="Times New Roman"/>
          <w:b/>
          <w:bCs/>
          <w:sz w:val="44"/>
          <w:szCs w:val="44"/>
        </w:rPr>
      </w:pPr>
      <w:r>
        <w:rPr>
          <w:rFonts w:hint="eastAsia" w:eastAsia="方正小标宋_GBK" w:cs="Times New Roman"/>
          <w:b/>
          <w:bCs/>
          <w:sz w:val="44"/>
          <w:szCs w:val="44"/>
        </w:rPr>
        <w:t>部门整体支出绩效评价报告</w:t>
      </w:r>
    </w:p>
    <w:p w14:paraId="60BD39AA">
      <w:pPr>
        <w:ind w:firstLine="640"/>
        <w:rPr>
          <w:rFonts w:eastAsia="仿宋_GB2312" w:cs="Times New Roman"/>
          <w:sz w:val="32"/>
          <w:szCs w:val="24"/>
          <w:lang w:val="zh-CN"/>
        </w:rPr>
      </w:pPr>
      <w:r>
        <w:rPr>
          <w:rFonts w:eastAsia="仿宋_GB2312" w:cs="Times New Roman"/>
          <w:sz w:val="32"/>
          <w:szCs w:val="24"/>
          <w:lang w:val="zh-CN"/>
        </w:rPr>
        <w:t>按照《绵竹市财政局关于开展2021年财政支出绩效评价工作的通知》（竹财监〔2021〕145号），我们接受绵竹市财政局委托，于2021年5月27日至6月5日对绵竹市自然资源和规划局开展部门整体支出绩效评价，</w:t>
      </w:r>
      <w:r>
        <w:rPr>
          <w:rFonts w:hint="eastAsia" w:eastAsia="仿宋_GB2312" w:cs="Times New Roman"/>
          <w:sz w:val="32"/>
          <w:szCs w:val="24"/>
          <w:lang w:val="zh-CN"/>
        </w:rPr>
        <w:t>具体情况如下。</w:t>
      </w:r>
    </w:p>
    <w:p w14:paraId="565A2B83">
      <w:pPr>
        <w:pStyle w:val="2"/>
        <w:spacing w:line="600" w:lineRule="exact"/>
        <w:ind w:firstLine="640" w:firstLineChars="200"/>
        <w:jc w:val="both"/>
        <w:rPr>
          <w:rFonts w:cs="Times New Roman"/>
          <w:b w:val="0"/>
          <w:bCs w:val="0"/>
          <w:sz w:val="32"/>
          <w:szCs w:val="32"/>
        </w:rPr>
      </w:pPr>
      <w:bookmarkStart w:id="2" w:name="_Toc77784230"/>
      <w:r>
        <w:rPr>
          <w:rFonts w:hint="eastAsia" w:cs="Times New Roman"/>
          <w:b w:val="0"/>
          <w:bCs w:val="0"/>
          <w:sz w:val="32"/>
          <w:szCs w:val="32"/>
        </w:rPr>
        <w:t>一、部门概况</w:t>
      </w:r>
      <w:bookmarkEnd w:id="2"/>
    </w:p>
    <w:p w14:paraId="5C442AFD">
      <w:pPr>
        <w:pStyle w:val="3"/>
        <w:spacing w:line="600" w:lineRule="exact"/>
        <w:ind w:firstLine="643" w:firstLineChars="200"/>
        <w:jc w:val="both"/>
        <w:rPr>
          <w:rFonts w:eastAsia="楷体_GB2312" w:cs="Times New Roman"/>
          <w:sz w:val="32"/>
        </w:rPr>
      </w:pPr>
      <w:bookmarkStart w:id="3" w:name="_Toc77784231"/>
      <w:r>
        <w:rPr>
          <w:rFonts w:hint="eastAsia" w:eastAsia="楷体_GB2312" w:cs="Times New Roman"/>
          <w:sz w:val="32"/>
        </w:rPr>
        <w:t>（一）部门设立背景及职能变革</w:t>
      </w:r>
      <w:bookmarkEnd w:id="3"/>
    </w:p>
    <w:p w14:paraId="3E32030D">
      <w:pPr>
        <w:ind w:firstLine="640"/>
        <w:rPr>
          <w:rFonts w:eastAsia="仿宋_GB2312" w:cs="Times New Roman"/>
          <w:sz w:val="32"/>
          <w:szCs w:val="24"/>
          <w:lang w:val="zh-CN"/>
        </w:rPr>
      </w:pPr>
      <w:r>
        <w:rPr>
          <w:rFonts w:hint="eastAsia" w:eastAsia="仿宋_GB2312" w:cs="Times New Roman"/>
          <w:sz w:val="32"/>
          <w:szCs w:val="24"/>
          <w:lang w:val="zh-CN"/>
        </w:rPr>
        <w:t>绵竹市自然资源和规划局于2019年</w:t>
      </w:r>
      <w:r>
        <w:rPr>
          <w:rFonts w:eastAsia="仿宋_GB2312" w:cs="Times New Roman"/>
          <w:sz w:val="32"/>
          <w:szCs w:val="24"/>
          <w:lang w:val="zh-CN"/>
        </w:rPr>
        <w:t>3</w:t>
      </w:r>
      <w:r>
        <w:rPr>
          <w:rFonts w:hint="eastAsia" w:eastAsia="仿宋_GB2312" w:cs="Times New Roman"/>
          <w:sz w:val="32"/>
          <w:szCs w:val="24"/>
          <w:lang w:val="zh-CN"/>
        </w:rPr>
        <w:t>月正式挂牌成立，统一行使绵竹市全民所有自然资源资产所有者职责，统一行使所有国土空间用途管制和生态保护修复职责，着力解决自然资源所有者不到位、空间规划重叠等问题。</w:t>
      </w:r>
    </w:p>
    <w:p w14:paraId="1FABED14">
      <w:pPr>
        <w:ind w:firstLine="640"/>
        <w:rPr>
          <w:rFonts w:eastAsia="仿宋_GB2312" w:cs="Times New Roman"/>
          <w:sz w:val="32"/>
          <w:szCs w:val="24"/>
          <w:lang w:val="zh-CN"/>
        </w:rPr>
      </w:pPr>
      <w:r>
        <w:rPr>
          <w:rFonts w:hint="eastAsia" w:eastAsia="仿宋_GB2312" w:cs="Times New Roman"/>
          <w:sz w:val="32"/>
          <w:szCs w:val="24"/>
          <w:lang w:val="zh-CN"/>
        </w:rPr>
        <w:t>根据《绵竹市机构改革方案》（竹市委办〔2019〕12号），绵竹市自然资源和规划局是将原市国土资源局、市林业局的职责和原有住房和城乡建设局的风景名胜区管理职责，以及相关机构的城乡规划管理职责、水资源调查和确权登记管理职责、草原资源调查和确权登记管理职责、草原监督管理职责整合优化组建而成的正科级行政单位。</w:t>
      </w:r>
    </w:p>
    <w:p w14:paraId="21B2EC90">
      <w:pPr>
        <w:pStyle w:val="3"/>
        <w:spacing w:line="600" w:lineRule="exact"/>
        <w:ind w:firstLine="643" w:firstLineChars="200"/>
        <w:jc w:val="both"/>
        <w:rPr>
          <w:rFonts w:eastAsia="楷体_GB2312" w:cs="Times New Roman"/>
          <w:sz w:val="32"/>
        </w:rPr>
      </w:pPr>
      <w:bookmarkStart w:id="4" w:name="_Toc77784232"/>
      <w:r>
        <w:rPr>
          <w:rFonts w:hint="eastAsia" w:eastAsia="楷体_GB2312" w:cs="Times New Roman"/>
          <w:sz w:val="32"/>
        </w:rPr>
        <w:t>（二）部门机构设置</w:t>
      </w:r>
      <w:bookmarkEnd w:id="4"/>
    </w:p>
    <w:p w14:paraId="682A110C">
      <w:pPr>
        <w:pStyle w:val="4"/>
        <w:spacing w:before="120" w:after="120" w:line="600" w:lineRule="exact"/>
        <w:ind w:firstLine="643" w:firstLineChars="200"/>
        <w:rPr>
          <w:rFonts w:ascii="Times New Roman" w:hAnsi="Times New Roman" w:eastAsia="仿宋_GB2312" w:cs="Times New Roman"/>
          <w:sz w:val="32"/>
        </w:rPr>
      </w:pPr>
      <w:bookmarkStart w:id="5" w:name="_Toc76938430"/>
      <w:bookmarkStart w:id="6" w:name="_Toc77784233"/>
      <w:r>
        <w:rPr>
          <w:rFonts w:ascii="Times New Roman" w:hAnsi="Times New Roman" w:eastAsia="仿宋_GB2312" w:cs="Times New Roman"/>
          <w:sz w:val="32"/>
        </w:rPr>
        <w:t>1.</w:t>
      </w:r>
      <w:r>
        <w:rPr>
          <w:rFonts w:hint="eastAsia" w:ascii="Times New Roman" w:hAnsi="Times New Roman" w:eastAsia="仿宋_GB2312" w:cs="Times New Roman"/>
          <w:sz w:val="32"/>
        </w:rPr>
        <w:t>部门主要职责</w:t>
      </w:r>
      <w:bookmarkEnd w:id="5"/>
      <w:bookmarkEnd w:id="6"/>
    </w:p>
    <w:p w14:paraId="30DCF72A">
      <w:pPr>
        <w:ind w:firstLine="640"/>
        <w:rPr>
          <w:rFonts w:eastAsia="仿宋_GB2312" w:cs="Times New Roman"/>
          <w:sz w:val="32"/>
          <w:szCs w:val="24"/>
          <w:lang w:val="zh-CN"/>
        </w:rPr>
      </w:pPr>
      <w:r>
        <w:rPr>
          <w:rFonts w:hint="eastAsia" w:eastAsia="仿宋_GB2312" w:cs="Times New Roman"/>
          <w:sz w:val="32"/>
          <w:szCs w:val="24"/>
          <w:lang w:val="zh-CN"/>
        </w:rPr>
        <w:t>根据《绵竹市机构改革方案》（竹市委办〔2019〕）和《关于&lt;绵竹市机构改革方案&gt;的实施意见》（竹机改〔2019〕1号）等文件，绵竹市自然资源和规划局职能职责如下：</w:t>
      </w:r>
    </w:p>
    <w:p w14:paraId="2802DF20">
      <w:pPr>
        <w:ind w:firstLine="640"/>
        <w:rPr>
          <w:rFonts w:eastAsia="仿宋_GB2312" w:cs="Times New Roman"/>
          <w:sz w:val="32"/>
          <w:szCs w:val="24"/>
          <w:lang w:val="zh-CN"/>
        </w:rPr>
      </w:pPr>
      <w:r>
        <w:rPr>
          <w:rFonts w:hint="eastAsia" w:eastAsia="仿宋_GB2312" w:cs="Times New Roman"/>
          <w:sz w:val="32"/>
          <w:szCs w:val="24"/>
          <w:lang w:val="zh-CN"/>
        </w:rPr>
        <w:t>（1）按照规定权限履行全民所有土地、矿产、森林、草原、湿地、水等自然资源资产所有者职责和所有国土空间用途管制职责。</w:t>
      </w:r>
    </w:p>
    <w:p w14:paraId="11369270">
      <w:pPr>
        <w:ind w:firstLine="640"/>
        <w:rPr>
          <w:rFonts w:eastAsia="仿宋_GB2312" w:cs="Times New Roman"/>
          <w:sz w:val="32"/>
          <w:szCs w:val="24"/>
          <w:lang w:val="zh-CN"/>
        </w:rPr>
      </w:pPr>
      <w:r>
        <w:rPr>
          <w:rFonts w:hint="eastAsia" w:eastAsia="仿宋_GB2312" w:cs="Times New Roman"/>
          <w:sz w:val="32"/>
          <w:szCs w:val="24"/>
          <w:lang w:val="zh-CN"/>
        </w:rPr>
        <w:t>（2）负责全市自然资源及陆生野生动植物资源调查监测评价。</w:t>
      </w:r>
    </w:p>
    <w:p w14:paraId="759C94EC">
      <w:pPr>
        <w:ind w:firstLine="640"/>
        <w:rPr>
          <w:rFonts w:eastAsia="仿宋_GB2312" w:cs="Times New Roman"/>
          <w:sz w:val="32"/>
          <w:szCs w:val="24"/>
          <w:lang w:val="zh-CN"/>
        </w:rPr>
      </w:pPr>
      <w:r>
        <w:rPr>
          <w:rFonts w:hint="eastAsia" w:eastAsia="仿宋_GB2312" w:cs="Times New Roman"/>
          <w:sz w:val="32"/>
          <w:szCs w:val="24"/>
          <w:lang w:val="zh-CN"/>
        </w:rPr>
        <w:t>（3）负责全市自然资源统一确权登记工作。</w:t>
      </w:r>
    </w:p>
    <w:p w14:paraId="130A1175">
      <w:pPr>
        <w:ind w:firstLine="640"/>
        <w:rPr>
          <w:rFonts w:eastAsia="仿宋_GB2312" w:cs="Times New Roman"/>
          <w:sz w:val="32"/>
          <w:szCs w:val="24"/>
          <w:lang w:val="zh-CN"/>
        </w:rPr>
      </w:pPr>
      <w:r>
        <w:rPr>
          <w:rFonts w:hint="eastAsia" w:eastAsia="仿宋_GB2312" w:cs="Times New Roman"/>
          <w:sz w:val="32"/>
          <w:szCs w:val="24"/>
          <w:lang w:val="zh-CN"/>
        </w:rPr>
        <w:t>（4）负责全市自然资源资产有偿使用工作。</w:t>
      </w:r>
    </w:p>
    <w:p w14:paraId="044C6264">
      <w:pPr>
        <w:ind w:firstLine="640"/>
        <w:rPr>
          <w:rFonts w:eastAsia="仿宋_GB2312" w:cs="Times New Roman"/>
          <w:sz w:val="32"/>
          <w:szCs w:val="24"/>
          <w:lang w:val="zh-CN"/>
        </w:rPr>
      </w:pPr>
      <w:r>
        <w:rPr>
          <w:rFonts w:hint="eastAsia" w:eastAsia="仿宋_GB2312" w:cs="Times New Roman"/>
          <w:sz w:val="32"/>
          <w:szCs w:val="24"/>
          <w:lang w:val="zh-CN"/>
        </w:rPr>
        <w:t>（5）负责全市自然资源的合理开发利用。</w:t>
      </w:r>
    </w:p>
    <w:p w14:paraId="0167423E">
      <w:pPr>
        <w:ind w:firstLine="640"/>
        <w:rPr>
          <w:rFonts w:eastAsia="仿宋_GB2312" w:cs="Times New Roman"/>
          <w:sz w:val="32"/>
          <w:szCs w:val="24"/>
          <w:lang w:val="zh-CN"/>
        </w:rPr>
      </w:pPr>
      <w:r>
        <w:rPr>
          <w:rFonts w:hint="eastAsia" w:eastAsia="仿宋_GB2312" w:cs="Times New Roman"/>
          <w:sz w:val="32"/>
          <w:szCs w:val="24"/>
          <w:lang w:val="zh-CN"/>
        </w:rPr>
        <w:t>（6）负责建立全市空间规划体系并监督实施。</w:t>
      </w:r>
    </w:p>
    <w:p w14:paraId="7164E291">
      <w:pPr>
        <w:ind w:firstLine="640"/>
        <w:rPr>
          <w:rFonts w:eastAsia="仿宋_GB2312" w:cs="Times New Roman"/>
          <w:sz w:val="32"/>
          <w:szCs w:val="24"/>
          <w:lang w:val="zh-CN"/>
        </w:rPr>
      </w:pPr>
      <w:r>
        <w:rPr>
          <w:rFonts w:hint="eastAsia" w:eastAsia="仿宋_GB2312" w:cs="Times New Roman"/>
          <w:sz w:val="32"/>
          <w:szCs w:val="24"/>
          <w:lang w:val="zh-CN"/>
        </w:rPr>
        <w:t>（7）负责国土空间各项建设工程的规划审批、规划管理及批后管理和监察工作。</w:t>
      </w:r>
    </w:p>
    <w:p w14:paraId="4654CEA9">
      <w:pPr>
        <w:ind w:firstLine="640"/>
        <w:rPr>
          <w:rFonts w:eastAsia="仿宋_GB2312" w:cs="Times New Roman"/>
          <w:sz w:val="32"/>
          <w:szCs w:val="24"/>
          <w:lang w:val="zh-CN"/>
        </w:rPr>
      </w:pPr>
      <w:r>
        <w:rPr>
          <w:rFonts w:hint="eastAsia" w:eastAsia="仿宋_GB2312" w:cs="Times New Roman"/>
          <w:sz w:val="32"/>
          <w:szCs w:val="24"/>
          <w:lang w:val="zh-CN"/>
        </w:rPr>
        <w:t>（8）负责统筹全市国土空间生态修复。</w:t>
      </w:r>
    </w:p>
    <w:p w14:paraId="3E8903AF">
      <w:pPr>
        <w:ind w:firstLine="640"/>
        <w:rPr>
          <w:rFonts w:eastAsia="仿宋_GB2312" w:cs="Times New Roman"/>
          <w:sz w:val="32"/>
          <w:szCs w:val="24"/>
          <w:lang w:val="zh-CN"/>
        </w:rPr>
      </w:pPr>
      <w:r>
        <w:rPr>
          <w:rFonts w:hint="eastAsia" w:eastAsia="仿宋_GB2312" w:cs="Times New Roman"/>
          <w:sz w:val="32"/>
          <w:szCs w:val="24"/>
          <w:lang w:val="zh-CN"/>
        </w:rPr>
        <w:t>（9）负责组织实施最严格的耕地保护制度。</w:t>
      </w:r>
    </w:p>
    <w:p w14:paraId="295F25B2">
      <w:pPr>
        <w:ind w:firstLine="640"/>
        <w:rPr>
          <w:rFonts w:eastAsia="仿宋_GB2312" w:cs="Times New Roman"/>
          <w:sz w:val="32"/>
          <w:szCs w:val="24"/>
          <w:lang w:val="zh-CN"/>
        </w:rPr>
      </w:pPr>
      <w:r>
        <w:rPr>
          <w:rFonts w:hint="eastAsia" w:eastAsia="仿宋_GB2312" w:cs="Times New Roman"/>
          <w:sz w:val="32"/>
          <w:szCs w:val="24"/>
          <w:lang w:val="zh-CN"/>
        </w:rPr>
        <w:t>（1</w:t>
      </w:r>
      <w:r>
        <w:rPr>
          <w:rFonts w:eastAsia="仿宋_GB2312" w:cs="Times New Roman"/>
          <w:sz w:val="32"/>
          <w:szCs w:val="24"/>
          <w:lang w:val="zh-CN"/>
        </w:rPr>
        <w:t>0</w:t>
      </w:r>
      <w:r>
        <w:rPr>
          <w:rFonts w:hint="eastAsia" w:eastAsia="仿宋_GB2312" w:cs="Times New Roman"/>
          <w:sz w:val="32"/>
          <w:szCs w:val="24"/>
          <w:lang w:val="zh-CN"/>
        </w:rPr>
        <w:t>）负责管理全市地质勘查行业和地质工作。</w:t>
      </w:r>
    </w:p>
    <w:p w14:paraId="4235DE54">
      <w:pPr>
        <w:ind w:firstLine="640"/>
        <w:rPr>
          <w:rFonts w:eastAsia="仿宋_GB2312" w:cs="Times New Roman"/>
          <w:sz w:val="32"/>
          <w:szCs w:val="24"/>
          <w:lang w:val="zh-CN"/>
        </w:rPr>
      </w:pPr>
      <w:r>
        <w:rPr>
          <w:rFonts w:hint="eastAsia" w:eastAsia="仿宋_GB2312" w:cs="Times New Roman"/>
          <w:sz w:val="32"/>
          <w:szCs w:val="24"/>
          <w:lang w:val="zh-CN"/>
        </w:rPr>
        <w:t>（1</w:t>
      </w:r>
      <w:r>
        <w:rPr>
          <w:rFonts w:eastAsia="仿宋_GB2312" w:cs="Times New Roman"/>
          <w:sz w:val="32"/>
          <w:szCs w:val="24"/>
          <w:lang w:val="zh-CN"/>
        </w:rPr>
        <w:t>1</w:t>
      </w:r>
      <w:r>
        <w:rPr>
          <w:rFonts w:hint="eastAsia" w:eastAsia="仿宋_GB2312" w:cs="Times New Roman"/>
          <w:sz w:val="32"/>
          <w:szCs w:val="24"/>
          <w:lang w:val="zh-CN"/>
        </w:rPr>
        <w:t>）负责全市矿产资源管理工作。</w:t>
      </w:r>
    </w:p>
    <w:p w14:paraId="279F0CFE">
      <w:pPr>
        <w:ind w:firstLine="640"/>
        <w:rPr>
          <w:rFonts w:eastAsia="仿宋_GB2312" w:cs="Times New Roman"/>
          <w:sz w:val="32"/>
          <w:szCs w:val="24"/>
          <w:lang w:val="zh-CN"/>
        </w:rPr>
      </w:pPr>
      <w:r>
        <w:rPr>
          <w:rFonts w:hint="eastAsia" w:eastAsia="仿宋_GB2312" w:cs="Times New Roman"/>
          <w:sz w:val="32"/>
          <w:szCs w:val="24"/>
          <w:lang w:val="zh-CN"/>
        </w:rPr>
        <w:t>（1</w:t>
      </w:r>
      <w:r>
        <w:rPr>
          <w:rFonts w:eastAsia="仿宋_GB2312" w:cs="Times New Roman"/>
          <w:sz w:val="32"/>
          <w:szCs w:val="24"/>
          <w:lang w:val="zh-CN"/>
        </w:rPr>
        <w:t>2</w:t>
      </w:r>
      <w:r>
        <w:rPr>
          <w:rFonts w:hint="eastAsia" w:eastAsia="仿宋_GB2312" w:cs="Times New Roman"/>
          <w:sz w:val="32"/>
          <w:szCs w:val="24"/>
          <w:lang w:val="zh-CN"/>
        </w:rPr>
        <w:t>）负责全市测绘地理信息的统一监督管理。</w:t>
      </w:r>
    </w:p>
    <w:p w14:paraId="1BC222E6">
      <w:pPr>
        <w:ind w:firstLine="640"/>
        <w:rPr>
          <w:rFonts w:eastAsia="仿宋_GB2312" w:cs="Times New Roman"/>
          <w:sz w:val="32"/>
          <w:szCs w:val="24"/>
          <w:lang w:val="zh-CN"/>
        </w:rPr>
      </w:pPr>
      <w:r>
        <w:rPr>
          <w:rFonts w:hint="eastAsia" w:eastAsia="仿宋_GB2312" w:cs="Times New Roman"/>
          <w:sz w:val="32"/>
          <w:szCs w:val="24"/>
          <w:lang w:val="zh-CN"/>
        </w:rPr>
        <w:t>（1</w:t>
      </w:r>
      <w:r>
        <w:rPr>
          <w:rFonts w:eastAsia="仿宋_GB2312" w:cs="Times New Roman"/>
          <w:sz w:val="32"/>
          <w:szCs w:val="24"/>
          <w:lang w:val="zh-CN"/>
        </w:rPr>
        <w:t>3</w:t>
      </w:r>
      <w:r>
        <w:rPr>
          <w:rFonts w:hint="eastAsia" w:eastAsia="仿宋_GB2312" w:cs="Times New Roman"/>
          <w:sz w:val="32"/>
          <w:szCs w:val="24"/>
          <w:lang w:val="zh-CN"/>
        </w:rPr>
        <w:t>）推动全市自然资源领域科技发展和对外合作交流。</w:t>
      </w:r>
    </w:p>
    <w:p w14:paraId="01C194FF">
      <w:pPr>
        <w:ind w:firstLine="640"/>
        <w:rPr>
          <w:rFonts w:eastAsia="仿宋_GB2312" w:cs="Times New Roman"/>
          <w:sz w:val="32"/>
          <w:szCs w:val="24"/>
          <w:lang w:val="zh-CN"/>
        </w:rPr>
      </w:pPr>
      <w:r>
        <w:rPr>
          <w:rFonts w:hint="eastAsia" w:eastAsia="仿宋_GB2312" w:cs="Times New Roman"/>
          <w:sz w:val="32"/>
          <w:szCs w:val="24"/>
          <w:lang w:val="zh-CN"/>
        </w:rPr>
        <w:t>（1</w:t>
      </w:r>
      <w:r>
        <w:rPr>
          <w:rFonts w:eastAsia="仿宋_GB2312" w:cs="Times New Roman"/>
          <w:sz w:val="32"/>
          <w:szCs w:val="24"/>
          <w:lang w:val="zh-CN"/>
        </w:rPr>
        <w:t>4</w:t>
      </w:r>
      <w:r>
        <w:rPr>
          <w:rFonts w:hint="eastAsia" w:eastAsia="仿宋_GB2312" w:cs="Times New Roman"/>
          <w:sz w:val="32"/>
          <w:szCs w:val="24"/>
          <w:lang w:val="zh-CN"/>
        </w:rPr>
        <w:t>）配合国家、省、市对县级政府落实党中央、国务院、省人民政府关于自然资源和国土空间规划的重大方针政策、决策部署及法律法规执行情况进行督查。</w:t>
      </w:r>
    </w:p>
    <w:p w14:paraId="7A7D9A07">
      <w:pPr>
        <w:ind w:firstLine="640"/>
        <w:rPr>
          <w:rFonts w:eastAsia="仿宋_GB2312" w:cs="Times New Roman"/>
          <w:sz w:val="32"/>
          <w:szCs w:val="24"/>
          <w:lang w:val="zh-CN"/>
        </w:rPr>
      </w:pPr>
      <w:r>
        <w:rPr>
          <w:rFonts w:hint="eastAsia" w:eastAsia="仿宋_GB2312" w:cs="Times New Roman"/>
          <w:sz w:val="32"/>
          <w:szCs w:val="24"/>
          <w:lang w:val="zh-CN"/>
        </w:rPr>
        <w:t>（1</w:t>
      </w:r>
      <w:r>
        <w:rPr>
          <w:rFonts w:eastAsia="仿宋_GB2312" w:cs="Times New Roman"/>
          <w:sz w:val="32"/>
          <w:szCs w:val="24"/>
          <w:lang w:val="zh-CN"/>
        </w:rPr>
        <w:t>5</w:t>
      </w:r>
      <w:r>
        <w:rPr>
          <w:rFonts w:hint="eastAsia" w:eastAsia="仿宋_GB2312" w:cs="Times New Roman"/>
          <w:sz w:val="32"/>
          <w:szCs w:val="24"/>
          <w:lang w:val="zh-CN"/>
        </w:rPr>
        <w:t>）负责全市林业、草原和湿地生态保护修复工作及监督管理。</w:t>
      </w:r>
    </w:p>
    <w:p w14:paraId="3F8B02DE">
      <w:pPr>
        <w:ind w:firstLine="640"/>
        <w:rPr>
          <w:rFonts w:eastAsia="仿宋_GB2312" w:cs="Times New Roman"/>
          <w:sz w:val="32"/>
          <w:szCs w:val="24"/>
          <w:lang w:val="zh-CN"/>
        </w:rPr>
      </w:pPr>
      <w:r>
        <w:rPr>
          <w:rFonts w:hint="eastAsia" w:eastAsia="仿宋_GB2312" w:cs="Times New Roman"/>
          <w:sz w:val="32"/>
          <w:szCs w:val="24"/>
          <w:lang w:val="zh-CN"/>
        </w:rPr>
        <w:t>（1</w:t>
      </w:r>
      <w:r>
        <w:rPr>
          <w:rFonts w:eastAsia="仿宋_GB2312" w:cs="Times New Roman"/>
          <w:sz w:val="32"/>
          <w:szCs w:val="24"/>
          <w:lang w:val="zh-CN"/>
        </w:rPr>
        <w:t>6</w:t>
      </w:r>
      <w:r>
        <w:rPr>
          <w:rFonts w:hint="eastAsia" w:eastAsia="仿宋_GB2312" w:cs="Times New Roman"/>
          <w:sz w:val="32"/>
          <w:szCs w:val="24"/>
          <w:lang w:val="zh-CN"/>
        </w:rPr>
        <w:t>）组织全市绿化造林工作。</w:t>
      </w:r>
    </w:p>
    <w:p w14:paraId="52F9E706">
      <w:pPr>
        <w:ind w:firstLine="640"/>
        <w:rPr>
          <w:rFonts w:eastAsia="仿宋_GB2312" w:cs="Times New Roman"/>
          <w:sz w:val="32"/>
          <w:szCs w:val="24"/>
          <w:lang w:val="zh-CN"/>
        </w:rPr>
      </w:pPr>
      <w:r>
        <w:rPr>
          <w:rFonts w:hint="eastAsia" w:eastAsia="仿宋_GB2312" w:cs="Times New Roman"/>
          <w:sz w:val="32"/>
          <w:szCs w:val="24"/>
          <w:lang w:val="zh-CN"/>
        </w:rPr>
        <w:t>（1</w:t>
      </w:r>
      <w:r>
        <w:rPr>
          <w:rFonts w:eastAsia="仿宋_GB2312" w:cs="Times New Roman"/>
          <w:sz w:val="32"/>
          <w:szCs w:val="24"/>
          <w:lang w:val="zh-CN"/>
        </w:rPr>
        <w:t>7</w:t>
      </w:r>
      <w:r>
        <w:rPr>
          <w:rFonts w:hint="eastAsia" w:eastAsia="仿宋_GB2312" w:cs="Times New Roman"/>
          <w:sz w:val="32"/>
          <w:szCs w:val="24"/>
          <w:lang w:val="zh-CN"/>
        </w:rPr>
        <w:t>）负责全市森林、湿地、草原资源的监督管理。</w:t>
      </w:r>
    </w:p>
    <w:p w14:paraId="5820ABFE">
      <w:pPr>
        <w:ind w:firstLine="640"/>
        <w:rPr>
          <w:rFonts w:eastAsia="仿宋_GB2312" w:cs="Times New Roman"/>
          <w:sz w:val="32"/>
          <w:szCs w:val="24"/>
          <w:lang w:val="zh-CN"/>
        </w:rPr>
      </w:pPr>
      <w:r>
        <w:rPr>
          <w:rFonts w:hint="eastAsia" w:eastAsia="仿宋_GB2312" w:cs="Times New Roman"/>
          <w:sz w:val="32"/>
          <w:szCs w:val="24"/>
          <w:lang w:val="zh-CN"/>
        </w:rPr>
        <w:t>（1</w:t>
      </w:r>
      <w:r>
        <w:rPr>
          <w:rFonts w:eastAsia="仿宋_GB2312" w:cs="Times New Roman"/>
          <w:sz w:val="32"/>
          <w:szCs w:val="24"/>
          <w:lang w:val="zh-CN"/>
        </w:rPr>
        <w:t>8</w:t>
      </w:r>
      <w:r>
        <w:rPr>
          <w:rFonts w:hint="eastAsia" w:eastAsia="仿宋_GB2312" w:cs="Times New Roman"/>
          <w:sz w:val="32"/>
          <w:szCs w:val="24"/>
          <w:lang w:val="zh-CN"/>
        </w:rPr>
        <w:t>）负责监督管理全市荒漠化防治工作。</w:t>
      </w:r>
    </w:p>
    <w:p w14:paraId="78730ECE">
      <w:pPr>
        <w:ind w:firstLine="640"/>
        <w:rPr>
          <w:rFonts w:eastAsia="仿宋_GB2312" w:cs="Times New Roman"/>
          <w:sz w:val="32"/>
          <w:szCs w:val="24"/>
          <w:lang w:val="zh-CN"/>
        </w:rPr>
      </w:pPr>
      <w:r>
        <w:rPr>
          <w:rFonts w:hint="eastAsia" w:eastAsia="仿宋_GB2312" w:cs="Times New Roman"/>
          <w:sz w:val="32"/>
          <w:szCs w:val="24"/>
          <w:lang w:val="zh-CN"/>
        </w:rPr>
        <w:t>（1</w:t>
      </w:r>
      <w:r>
        <w:rPr>
          <w:rFonts w:eastAsia="仿宋_GB2312" w:cs="Times New Roman"/>
          <w:sz w:val="32"/>
          <w:szCs w:val="24"/>
          <w:lang w:val="zh-CN"/>
        </w:rPr>
        <w:t>9</w:t>
      </w:r>
      <w:r>
        <w:rPr>
          <w:rFonts w:hint="eastAsia" w:eastAsia="仿宋_GB2312" w:cs="Times New Roman"/>
          <w:sz w:val="32"/>
          <w:szCs w:val="24"/>
          <w:lang w:val="zh-CN"/>
        </w:rPr>
        <w:t>）负责全市陆生野生动植物资源监督管理。</w:t>
      </w:r>
    </w:p>
    <w:p w14:paraId="710BE560">
      <w:pPr>
        <w:ind w:firstLine="640"/>
        <w:rPr>
          <w:rFonts w:eastAsia="仿宋_GB2312" w:cs="Times New Roman"/>
          <w:sz w:val="32"/>
          <w:szCs w:val="24"/>
          <w:lang w:val="zh-CN"/>
        </w:rPr>
      </w:pPr>
      <w:r>
        <w:rPr>
          <w:rFonts w:hint="eastAsia" w:eastAsia="仿宋_GB2312" w:cs="Times New Roman"/>
          <w:sz w:val="32"/>
          <w:szCs w:val="24"/>
          <w:lang w:val="zh-CN"/>
        </w:rPr>
        <w:t>（2</w:t>
      </w:r>
      <w:r>
        <w:rPr>
          <w:rFonts w:eastAsia="仿宋_GB2312" w:cs="Times New Roman"/>
          <w:sz w:val="32"/>
          <w:szCs w:val="24"/>
          <w:lang w:val="zh-CN"/>
        </w:rPr>
        <w:t>0</w:t>
      </w:r>
      <w:r>
        <w:rPr>
          <w:rFonts w:hint="eastAsia" w:eastAsia="仿宋_GB2312" w:cs="Times New Roman"/>
          <w:sz w:val="32"/>
          <w:szCs w:val="24"/>
          <w:lang w:val="zh-CN"/>
        </w:rPr>
        <w:t>）负责监督管理全市各类自然保护地、风景名胜区、自然遗产。</w:t>
      </w:r>
    </w:p>
    <w:p w14:paraId="706B8D7B">
      <w:pPr>
        <w:ind w:firstLine="640"/>
        <w:rPr>
          <w:rFonts w:eastAsia="仿宋_GB2312" w:cs="Times New Roman"/>
          <w:sz w:val="32"/>
          <w:szCs w:val="24"/>
          <w:lang w:val="zh-CN"/>
        </w:rPr>
      </w:pPr>
      <w:r>
        <w:rPr>
          <w:rFonts w:hint="eastAsia" w:eastAsia="仿宋_GB2312" w:cs="Times New Roman"/>
          <w:sz w:val="32"/>
          <w:szCs w:val="24"/>
          <w:lang w:val="zh-CN"/>
        </w:rPr>
        <w:t>（2</w:t>
      </w:r>
      <w:r>
        <w:rPr>
          <w:rFonts w:eastAsia="仿宋_GB2312" w:cs="Times New Roman"/>
          <w:sz w:val="32"/>
          <w:szCs w:val="24"/>
          <w:lang w:val="zh-CN"/>
        </w:rPr>
        <w:t>1</w:t>
      </w:r>
      <w:r>
        <w:rPr>
          <w:rFonts w:hint="eastAsia" w:eastAsia="仿宋_GB2312" w:cs="Times New Roman"/>
          <w:sz w:val="32"/>
          <w:szCs w:val="24"/>
          <w:lang w:val="zh-CN"/>
        </w:rPr>
        <w:t>）负责推进全市林业和草原改革相关工作。</w:t>
      </w:r>
    </w:p>
    <w:p w14:paraId="691FA064">
      <w:pPr>
        <w:ind w:firstLine="640"/>
        <w:rPr>
          <w:rFonts w:eastAsia="仿宋_GB2312" w:cs="Times New Roman"/>
          <w:sz w:val="32"/>
          <w:szCs w:val="24"/>
          <w:lang w:val="zh-CN"/>
        </w:rPr>
      </w:pPr>
      <w:r>
        <w:rPr>
          <w:rFonts w:hint="eastAsia" w:eastAsia="仿宋_GB2312" w:cs="Times New Roman"/>
          <w:sz w:val="32"/>
          <w:szCs w:val="24"/>
          <w:lang w:val="zh-CN"/>
        </w:rPr>
        <w:t>（2</w:t>
      </w:r>
      <w:r>
        <w:rPr>
          <w:rFonts w:eastAsia="仿宋_GB2312" w:cs="Times New Roman"/>
          <w:sz w:val="32"/>
          <w:szCs w:val="24"/>
          <w:lang w:val="zh-CN"/>
        </w:rPr>
        <w:t>2</w:t>
      </w:r>
      <w:r>
        <w:rPr>
          <w:rFonts w:hint="eastAsia" w:eastAsia="仿宋_GB2312" w:cs="Times New Roman"/>
          <w:sz w:val="32"/>
          <w:szCs w:val="24"/>
          <w:lang w:val="zh-CN"/>
        </w:rPr>
        <w:t>）拟定全市林业和草原资源优化配置及木材利用政策，拟定相关林业产业政策并监督实施，组织、指导林草产品质量监督，指导生态扶贫相关工作。</w:t>
      </w:r>
    </w:p>
    <w:p w14:paraId="7D590E24">
      <w:pPr>
        <w:ind w:firstLine="640"/>
        <w:rPr>
          <w:rFonts w:eastAsia="仿宋_GB2312" w:cs="Times New Roman"/>
          <w:sz w:val="32"/>
          <w:szCs w:val="24"/>
          <w:lang w:val="zh-CN"/>
        </w:rPr>
      </w:pPr>
      <w:r>
        <w:rPr>
          <w:rFonts w:hint="eastAsia" w:eastAsia="仿宋_GB2312" w:cs="Times New Roman"/>
          <w:sz w:val="32"/>
          <w:szCs w:val="24"/>
          <w:lang w:val="zh-CN"/>
        </w:rPr>
        <w:t>（2</w:t>
      </w:r>
      <w:r>
        <w:rPr>
          <w:rFonts w:eastAsia="仿宋_GB2312" w:cs="Times New Roman"/>
          <w:sz w:val="32"/>
          <w:szCs w:val="24"/>
          <w:lang w:val="zh-CN"/>
        </w:rPr>
        <w:t>3</w:t>
      </w:r>
      <w:r>
        <w:rPr>
          <w:rFonts w:hint="eastAsia" w:eastAsia="仿宋_GB2312" w:cs="Times New Roman"/>
          <w:sz w:val="32"/>
          <w:szCs w:val="24"/>
          <w:lang w:val="zh-CN"/>
        </w:rPr>
        <w:t>）组织林木种子、草种种质资源普查，组织建立种质资源库，负责良种选育推广，管理林木种苗、草种生产经营行为，监管林木苗种、草种质量。</w:t>
      </w:r>
    </w:p>
    <w:p w14:paraId="5C8077E8">
      <w:pPr>
        <w:ind w:firstLine="640"/>
        <w:rPr>
          <w:rFonts w:eastAsia="仿宋_GB2312" w:cs="Times New Roman"/>
          <w:sz w:val="32"/>
          <w:szCs w:val="24"/>
          <w:lang w:val="zh-CN"/>
        </w:rPr>
      </w:pPr>
      <w:r>
        <w:rPr>
          <w:rFonts w:hint="eastAsia" w:eastAsia="仿宋_GB2312" w:cs="Times New Roman"/>
          <w:sz w:val="32"/>
          <w:szCs w:val="24"/>
          <w:lang w:val="zh-CN"/>
        </w:rPr>
        <w:t>（2</w:t>
      </w:r>
      <w:r>
        <w:rPr>
          <w:rFonts w:eastAsia="仿宋_GB2312" w:cs="Times New Roman"/>
          <w:sz w:val="32"/>
          <w:szCs w:val="24"/>
          <w:lang w:val="zh-CN"/>
        </w:rPr>
        <w:t>4</w:t>
      </w:r>
      <w:r>
        <w:rPr>
          <w:rFonts w:hint="eastAsia" w:eastAsia="仿宋_GB2312" w:cs="Times New Roman"/>
          <w:sz w:val="32"/>
          <w:szCs w:val="24"/>
          <w:lang w:val="zh-CN"/>
        </w:rPr>
        <w:t>）指导全市森林公安工作，监督管理森林公安队伍，指导林业重大违法案件的查处，负责相关行政执法监督工作，指导林区社会治安治理工作。</w:t>
      </w:r>
    </w:p>
    <w:p w14:paraId="4784F0CC">
      <w:pPr>
        <w:ind w:firstLine="640"/>
        <w:rPr>
          <w:rFonts w:eastAsia="仿宋_GB2312" w:cs="Times New Roman"/>
          <w:sz w:val="32"/>
          <w:szCs w:val="24"/>
          <w:lang w:val="zh-CN"/>
        </w:rPr>
      </w:pPr>
      <w:r>
        <w:rPr>
          <w:rFonts w:hint="eastAsia" w:eastAsia="仿宋_GB2312" w:cs="Times New Roman"/>
          <w:sz w:val="32"/>
          <w:szCs w:val="24"/>
          <w:lang w:val="zh-CN"/>
        </w:rPr>
        <w:t>（2</w:t>
      </w:r>
      <w:r>
        <w:rPr>
          <w:rFonts w:eastAsia="仿宋_GB2312" w:cs="Times New Roman"/>
          <w:sz w:val="32"/>
          <w:szCs w:val="24"/>
          <w:lang w:val="zh-CN"/>
        </w:rPr>
        <w:t>5</w:t>
      </w:r>
      <w:r>
        <w:rPr>
          <w:rFonts w:hint="eastAsia" w:eastAsia="仿宋_GB2312" w:cs="Times New Roman"/>
          <w:sz w:val="32"/>
          <w:szCs w:val="24"/>
          <w:lang w:val="zh-CN"/>
        </w:rPr>
        <w:t>）负责落实全市综合防灾减灾规划相关要求，组织编制并实时地质灾害、森林和草原火灾防治规划以及贯彻实施相关防护标准。</w:t>
      </w:r>
    </w:p>
    <w:p w14:paraId="5216A311">
      <w:pPr>
        <w:ind w:firstLine="640"/>
        <w:rPr>
          <w:rFonts w:eastAsia="仿宋_GB2312" w:cs="Times New Roman"/>
          <w:sz w:val="32"/>
          <w:szCs w:val="24"/>
          <w:lang w:val="zh-CN"/>
        </w:rPr>
      </w:pPr>
      <w:r>
        <w:rPr>
          <w:rFonts w:hint="eastAsia" w:eastAsia="仿宋_GB2312" w:cs="Times New Roman"/>
          <w:sz w:val="32"/>
          <w:szCs w:val="24"/>
          <w:lang w:val="zh-CN"/>
        </w:rPr>
        <w:t>（2</w:t>
      </w:r>
      <w:r>
        <w:rPr>
          <w:rFonts w:eastAsia="仿宋_GB2312" w:cs="Times New Roman"/>
          <w:sz w:val="32"/>
          <w:szCs w:val="24"/>
          <w:lang w:val="zh-CN"/>
        </w:rPr>
        <w:t>6</w:t>
      </w:r>
      <w:r>
        <w:rPr>
          <w:rFonts w:hint="eastAsia" w:eastAsia="仿宋_GB2312" w:cs="Times New Roman"/>
          <w:sz w:val="32"/>
          <w:szCs w:val="24"/>
          <w:lang w:val="zh-CN"/>
        </w:rPr>
        <w:t>）监督管理全市林业和草原资金和国有资产，提出林业和草原预算内投资、市级以上财政性资金安排建议，按市政府规定权限，核报、核准规划内和年度计划内投资项目。</w:t>
      </w:r>
    </w:p>
    <w:p w14:paraId="497A9EAA">
      <w:pPr>
        <w:ind w:firstLine="640"/>
        <w:rPr>
          <w:rFonts w:eastAsia="仿宋_GB2312" w:cs="Times New Roman"/>
          <w:sz w:val="32"/>
          <w:szCs w:val="24"/>
          <w:lang w:val="zh-CN"/>
        </w:rPr>
      </w:pPr>
      <w:r>
        <w:rPr>
          <w:rFonts w:hint="eastAsia" w:eastAsia="仿宋_GB2312" w:cs="Times New Roman"/>
          <w:sz w:val="32"/>
          <w:szCs w:val="24"/>
          <w:lang w:val="zh-CN"/>
        </w:rPr>
        <w:t>（2</w:t>
      </w:r>
      <w:r>
        <w:rPr>
          <w:rFonts w:eastAsia="仿宋_GB2312" w:cs="Times New Roman"/>
          <w:sz w:val="32"/>
          <w:szCs w:val="24"/>
          <w:lang w:val="zh-CN"/>
        </w:rPr>
        <w:t>7</w:t>
      </w:r>
      <w:r>
        <w:rPr>
          <w:rFonts w:hint="eastAsia" w:eastAsia="仿宋_GB2312" w:cs="Times New Roman"/>
          <w:sz w:val="32"/>
          <w:szCs w:val="24"/>
          <w:lang w:val="zh-CN"/>
        </w:rPr>
        <w:t>）负责职责内的安全生产和职业健康、生态环境保护、社会信用体系建设和审批服务便民化等工作。</w:t>
      </w:r>
    </w:p>
    <w:p w14:paraId="0025B149">
      <w:pPr>
        <w:ind w:firstLine="640"/>
        <w:rPr>
          <w:rFonts w:eastAsia="仿宋_GB2312" w:cs="Times New Roman"/>
          <w:sz w:val="32"/>
          <w:szCs w:val="24"/>
          <w:lang w:val="zh-CN"/>
        </w:rPr>
      </w:pPr>
      <w:r>
        <w:rPr>
          <w:rFonts w:hint="eastAsia" w:eastAsia="仿宋_GB2312" w:cs="Times New Roman"/>
          <w:sz w:val="32"/>
          <w:szCs w:val="24"/>
          <w:lang w:val="zh-CN"/>
        </w:rPr>
        <w:t>（2</w:t>
      </w:r>
      <w:r>
        <w:rPr>
          <w:rFonts w:eastAsia="仿宋_GB2312" w:cs="Times New Roman"/>
          <w:sz w:val="32"/>
          <w:szCs w:val="24"/>
          <w:lang w:val="zh-CN"/>
        </w:rPr>
        <w:t>8</w:t>
      </w:r>
      <w:r>
        <w:rPr>
          <w:rFonts w:hint="eastAsia" w:eastAsia="仿宋_GB2312" w:cs="Times New Roman"/>
          <w:sz w:val="32"/>
          <w:szCs w:val="24"/>
          <w:lang w:val="zh-CN"/>
        </w:rPr>
        <w:t>）按照部门权责清单履行相关职责。</w:t>
      </w:r>
    </w:p>
    <w:p w14:paraId="410EE29C">
      <w:pPr>
        <w:ind w:firstLine="640"/>
        <w:rPr>
          <w:rFonts w:eastAsia="仿宋_GB2312" w:cs="Times New Roman"/>
          <w:sz w:val="32"/>
          <w:szCs w:val="24"/>
          <w:lang w:val="zh-CN"/>
        </w:rPr>
      </w:pPr>
      <w:r>
        <w:rPr>
          <w:rFonts w:hint="eastAsia" w:eastAsia="仿宋_GB2312" w:cs="Times New Roman"/>
          <w:sz w:val="32"/>
          <w:szCs w:val="24"/>
          <w:lang w:val="zh-CN"/>
        </w:rPr>
        <w:t>（2</w:t>
      </w:r>
      <w:r>
        <w:rPr>
          <w:rFonts w:eastAsia="仿宋_GB2312" w:cs="Times New Roman"/>
          <w:sz w:val="32"/>
          <w:szCs w:val="24"/>
          <w:lang w:val="zh-CN"/>
        </w:rPr>
        <w:t>9</w:t>
      </w:r>
      <w:r>
        <w:rPr>
          <w:rFonts w:hint="eastAsia" w:eastAsia="仿宋_GB2312" w:cs="Times New Roman"/>
          <w:sz w:val="32"/>
          <w:szCs w:val="24"/>
          <w:lang w:val="zh-CN"/>
        </w:rPr>
        <w:t>）完成市委市政府交办的其他任务。</w:t>
      </w:r>
    </w:p>
    <w:p w14:paraId="73185123">
      <w:pPr>
        <w:pStyle w:val="4"/>
        <w:spacing w:before="120" w:after="120" w:line="600" w:lineRule="exact"/>
        <w:ind w:firstLine="643" w:firstLineChars="200"/>
        <w:rPr>
          <w:rFonts w:ascii="Times New Roman" w:hAnsi="Times New Roman" w:eastAsia="仿宋_GB2312" w:cs="Times New Roman"/>
          <w:sz w:val="32"/>
        </w:rPr>
      </w:pPr>
      <w:bookmarkStart w:id="7" w:name="_Toc76938431"/>
      <w:bookmarkStart w:id="8" w:name="_Toc77784234"/>
      <w:r>
        <w:rPr>
          <w:rFonts w:hint="eastAsia" w:ascii="Times New Roman" w:hAnsi="Times New Roman" w:eastAsia="仿宋_GB2312" w:cs="Times New Roman"/>
          <w:sz w:val="32"/>
        </w:rPr>
        <w:t>2.部门机构</w:t>
      </w:r>
      <w:bookmarkEnd w:id="7"/>
      <w:r>
        <w:rPr>
          <w:rFonts w:hint="eastAsia" w:ascii="Times New Roman" w:hAnsi="Times New Roman" w:eastAsia="仿宋_GB2312" w:cs="Times New Roman"/>
          <w:sz w:val="32"/>
        </w:rPr>
        <w:t>组成</w:t>
      </w:r>
      <w:bookmarkEnd w:id="8"/>
    </w:p>
    <w:p w14:paraId="06EDAB79">
      <w:pPr>
        <w:ind w:firstLine="640"/>
        <w:rPr>
          <w:rFonts w:eastAsia="仿宋_GB2312" w:cs="Times New Roman"/>
          <w:sz w:val="32"/>
          <w:szCs w:val="24"/>
          <w:lang w:val="zh-CN"/>
        </w:rPr>
      </w:pPr>
      <w:r>
        <w:rPr>
          <w:rFonts w:hint="eastAsia" w:eastAsia="仿宋_GB2312" w:cs="Times New Roman"/>
          <w:sz w:val="32"/>
          <w:szCs w:val="24"/>
          <w:lang w:val="zh-CN"/>
        </w:rPr>
        <w:t>（1）内设机构</w:t>
      </w:r>
    </w:p>
    <w:p w14:paraId="66D7E8E4">
      <w:pPr>
        <w:ind w:firstLine="640"/>
        <w:rPr>
          <w:rFonts w:eastAsia="仿宋_GB2312" w:cs="Times New Roman"/>
          <w:sz w:val="32"/>
          <w:szCs w:val="24"/>
          <w:lang w:val="zh-CN"/>
        </w:rPr>
      </w:pPr>
      <w:r>
        <w:rPr>
          <w:rFonts w:hint="eastAsia" w:eastAsia="仿宋_GB2312" w:cs="Times New Roman"/>
          <w:sz w:val="32"/>
          <w:szCs w:val="24"/>
          <w:lang w:val="zh-CN"/>
        </w:rPr>
        <w:t>绵竹市自然资源和规划局内设办公室和9个股室，其业务股室分别为法规股、自然资源调查监测与确权登记股、自然资源所有者权益与开发利用股、国土空间规划与用途管制股、耕地保护监督与生态保护修复股、地质矿产监督管理股、森林资源管理股、森林防火股、综合财务股。</w:t>
      </w:r>
    </w:p>
    <w:p w14:paraId="040E6BEB">
      <w:pPr>
        <w:ind w:firstLine="640"/>
        <w:rPr>
          <w:rFonts w:eastAsia="仿宋_GB2312" w:cs="Times New Roman"/>
          <w:sz w:val="32"/>
          <w:szCs w:val="24"/>
          <w:lang w:val="zh-CN"/>
        </w:rPr>
      </w:pPr>
      <w:r>
        <w:rPr>
          <w:rFonts w:hint="eastAsia" w:eastAsia="仿宋_GB2312" w:cs="Times New Roman"/>
          <w:sz w:val="32"/>
          <w:szCs w:val="24"/>
          <w:lang w:val="zh-CN"/>
        </w:rPr>
        <w:t>（2）下属事业单位</w:t>
      </w:r>
    </w:p>
    <w:p w14:paraId="384EB7DD">
      <w:pPr>
        <w:ind w:firstLine="640"/>
        <w:rPr>
          <w:rFonts w:eastAsia="仿宋_GB2312" w:cs="Times New Roman"/>
          <w:sz w:val="32"/>
          <w:szCs w:val="24"/>
          <w:lang w:val="zh-CN"/>
        </w:rPr>
      </w:pPr>
      <w:r>
        <w:rPr>
          <w:rFonts w:hint="eastAsia" w:eastAsia="仿宋_GB2312" w:cs="Times New Roman"/>
          <w:sz w:val="32"/>
          <w:szCs w:val="24"/>
          <w:lang w:val="zh-CN"/>
        </w:rPr>
        <w:t>绵竹市自然资源和规划局共有下属事业单位23个，分别是：绵竹市规划编制研究中心、绵竹市国土监察执法大队、绵竹市自然资源信息中心、绵竹市地政地籍管理所、绵竹市地质环境监测站、绵竹市国有农业区委会办公室、绵竹市统一拆迁安置事务中心、绵竹市土地储备中心、绵竹市土地开发整理中心、绵竹市基层国土资源所、绵竹市不动产登记中心、绵竹市村镇建设管理所、绵竹市城乡规划监察大队、绵竹市造林种苗和科学技术推广站、四川省九顶山省级自然保护区、绵竹市汉旺木材检查站、绵竹市广济木材检查站、大熊猫国家公园绵竹管理总站、绵竹市国营苗圃和绵竹市国营林场。</w:t>
      </w:r>
    </w:p>
    <w:p w14:paraId="3EF07A8B">
      <w:pPr>
        <w:pStyle w:val="4"/>
        <w:spacing w:before="120" w:after="120" w:line="600" w:lineRule="exact"/>
        <w:ind w:firstLine="643" w:firstLineChars="200"/>
        <w:rPr>
          <w:rFonts w:ascii="Times New Roman" w:hAnsi="Times New Roman" w:eastAsia="仿宋_GB2312" w:cs="Times New Roman"/>
          <w:sz w:val="32"/>
        </w:rPr>
      </w:pPr>
      <w:bookmarkStart w:id="9" w:name="_Toc77784235"/>
      <w:bookmarkStart w:id="10" w:name="_Toc76938432"/>
      <w:r>
        <w:rPr>
          <w:rFonts w:hint="eastAsia" w:ascii="Times New Roman" w:hAnsi="Times New Roman" w:eastAsia="仿宋_GB2312" w:cs="Times New Roman"/>
          <w:sz w:val="32"/>
        </w:rPr>
        <w:t>3.部门人员结构</w:t>
      </w:r>
      <w:bookmarkEnd w:id="9"/>
      <w:bookmarkEnd w:id="10"/>
    </w:p>
    <w:p w14:paraId="2A99F77F">
      <w:pPr>
        <w:ind w:firstLine="640"/>
        <w:rPr>
          <w:rFonts w:eastAsia="仿宋_GB2312" w:cs="Times New Roman"/>
          <w:sz w:val="32"/>
          <w:szCs w:val="24"/>
          <w:lang w:val="zh-CN"/>
        </w:rPr>
      </w:pPr>
      <w:r>
        <w:rPr>
          <w:rFonts w:hint="eastAsia" w:eastAsia="仿宋_GB2312" w:cs="Times New Roman"/>
          <w:sz w:val="32"/>
          <w:szCs w:val="24"/>
          <w:lang w:val="zh-CN"/>
        </w:rPr>
        <w:t>绵竹市自然资源和规划局总编制人数259人，其中：行政编制24名，参公编制38名，全额事业编制180名，差额事业编制17名。现有在职人员145人，其中行政12名，参公19名，全额事业107名，差额事业5名，自收自支事业2名。另经人社局核定的编外人员为39名，实有在岗编外人员30名。</w:t>
      </w:r>
    </w:p>
    <w:p w14:paraId="6FB8842C">
      <w:pPr>
        <w:ind w:firstLine="0" w:firstLineChars="0"/>
        <w:jc w:val="center"/>
        <w:rPr>
          <w:rFonts w:ascii="幼圆" w:eastAsia="幼圆" w:cs="Times New Roman"/>
          <w:b/>
          <w:bCs/>
          <w:szCs w:val="28"/>
        </w:rPr>
      </w:pPr>
      <w:r>
        <w:rPr>
          <w:rFonts w:ascii="幼圆" w:eastAsia="幼圆" w:cs="Times New Roman"/>
          <w:b/>
          <w:bCs/>
          <w:szCs w:val="28"/>
        </w:rPr>
        <w:drawing>
          <wp:anchor distT="0" distB="0" distL="114300" distR="114300" simplePos="0" relativeHeight="251659264" behindDoc="1" locked="0" layoutInCell="1" allowOverlap="1">
            <wp:simplePos x="0" y="0"/>
            <wp:positionH relativeFrom="column">
              <wp:posOffset>160020</wp:posOffset>
            </wp:positionH>
            <wp:positionV relativeFrom="paragraph">
              <wp:posOffset>106680</wp:posOffset>
            </wp:positionV>
            <wp:extent cx="5149850" cy="2255520"/>
            <wp:effectExtent l="0" t="0" r="0" b="0"/>
            <wp:wrapTight wrapText="bothSides">
              <wp:wrapPolygon>
                <wp:start x="0" y="0"/>
                <wp:lineTo x="0" y="21345"/>
                <wp:lineTo x="21493" y="21345"/>
                <wp:lineTo x="21493" y="0"/>
                <wp:lineTo x="0" y="0"/>
              </wp:wrapPolygon>
            </wp:wrapTight>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幼圆" w:eastAsia="幼圆" w:cs="Times New Roman"/>
          <w:b/>
          <w:bCs/>
          <w:szCs w:val="28"/>
        </w:rPr>
        <w:t xml:space="preserve">附图 </w:t>
      </w:r>
      <w:r>
        <w:rPr>
          <w:rFonts w:ascii="幼圆" w:eastAsia="幼圆" w:cs="Times New Roman"/>
          <w:b/>
          <w:bCs/>
          <w:szCs w:val="28"/>
        </w:rPr>
        <w:t>2020</w:t>
      </w:r>
      <w:r>
        <w:rPr>
          <w:rFonts w:hint="eastAsia" w:ascii="幼圆" w:eastAsia="幼圆" w:cs="Times New Roman"/>
          <w:b/>
          <w:bCs/>
          <w:szCs w:val="28"/>
        </w:rPr>
        <w:t>年绵竹市自然资源和规划局在职人员编制情况</w:t>
      </w:r>
    </w:p>
    <w:p w14:paraId="14B37F4D">
      <w:pPr>
        <w:pStyle w:val="3"/>
        <w:spacing w:line="600" w:lineRule="exact"/>
        <w:ind w:firstLine="643" w:firstLineChars="200"/>
        <w:jc w:val="both"/>
        <w:rPr>
          <w:rFonts w:eastAsia="楷体_GB2312" w:cs="Times New Roman"/>
          <w:sz w:val="32"/>
        </w:rPr>
      </w:pPr>
      <w:bookmarkStart w:id="11" w:name="_Toc77784236"/>
      <w:r>
        <w:rPr>
          <w:rFonts w:hint="eastAsia" w:eastAsia="楷体_GB2312" w:cs="Times New Roman"/>
          <w:sz w:val="32"/>
        </w:rPr>
        <w:t>（三）年度主要工作目标及重点工作</w:t>
      </w:r>
      <w:bookmarkEnd w:id="11"/>
    </w:p>
    <w:p w14:paraId="4527756E">
      <w:pPr>
        <w:pStyle w:val="4"/>
        <w:ind w:firstLine="643" w:firstLineChars="200"/>
        <w:rPr>
          <w:rFonts w:ascii="Times New Roman" w:hAnsi="Times New Roman" w:eastAsia="仿宋_GB2312" w:cs="Times New Roman"/>
          <w:sz w:val="32"/>
        </w:rPr>
      </w:pPr>
      <w:bookmarkStart w:id="12" w:name="_Toc76938435"/>
      <w:bookmarkStart w:id="13" w:name="_Toc77784237"/>
      <w:r>
        <w:rPr>
          <w:rFonts w:hint="eastAsia" w:ascii="Times New Roman" w:hAnsi="Times New Roman" w:eastAsia="仿宋_GB2312" w:cs="Times New Roman"/>
          <w:sz w:val="32"/>
        </w:rPr>
        <w:t>1</w:t>
      </w:r>
      <w:r>
        <w:rPr>
          <w:rFonts w:ascii="Times New Roman" w:hAnsi="Times New Roman" w:eastAsia="仿宋_GB2312" w:cs="Times New Roman"/>
          <w:sz w:val="32"/>
        </w:rPr>
        <w:t>.</w:t>
      </w:r>
      <w:r>
        <w:rPr>
          <w:rFonts w:hint="eastAsia" w:ascii="Times New Roman" w:hAnsi="Times New Roman" w:eastAsia="仿宋_GB2312" w:cs="Times New Roman"/>
          <w:sz w:val="32"/>
        </w:rPr>
        <w:t>年度主要工作目标</w:t>
      </w:r>
      <w:bookmarkEnd w:id="12"/>
      <w:bookmarkEnd w:id="13"/>
    </w:p>
    <w:p w14:paraId="15D0C93E">
      <w:pPr>
        <w:ind w:firstLine="640"/>
        <w:rPr>
          <w:rFonts w:eastAsia="仿宋_GB2312" w:cs="Times New Roman"/>
          <w:sz w:val="32"/>
          <w:szCs w:val="24"/>
          <w:lang w:val="zh-CN"/>
        </w:rPr>
      </w:pPr>
      <w:r>
        <w:rPr>
          <w:rFonts w:hint="eastAsia" w:eastAsia="仿宋_GB2312" w:cs="Times New Roman"/>
          <w:sz w:val="32"/>
          <w:szCs w:val="24"/>
          <w:lang w:val="zh-CN"/>
        </w:rPr>
        <w:t>2020年绵竹市自然资源和规划局的年度主要工作目标为：强化基层党建、夯实组织保障；突出规划引领作用；全力做好自然资源要素保障与供给；严格资源保护，践行绿色发展理念；扎实做好地址灾害和森林防灭火工作；持续增加群众资源福祉；突出法治建设，严格依法行政。</w:t>
      </w:r>
    </w:p>
    <w:p w14:paraId="05C4FF8E">
      <w:pPr>
        <w:pStyle w:val="4"/>
        <w:ind w:firstLine="643" w:firstLineChars="200"/>
        <w:rPr>
          <w:rFonts w:ascii="Times New Roman" w:hAnsi="Times New Roman" w:eastAsia="仿宋_GB2312" w:cs="Times New Roman"/>
          <w:sz w:val="32"/>
        </w:rPr>
      </w:pPr>
      <w:bookmarkStart w:id="14" w:name="_Toc76938436"/>
      <w:bookmarkStart w:id="15" w:name="_Toc77784238"/>
      <w:r>
        <w:rPr>
          <w:rFonts w:ascii="Times New Roman" w:hAnsi="Times New Roman" w:eastAsia="仿宋_GB2312" w:cs="Times New Roman"/>
          <w:sz w:val="32"/>
        </w:rPr>
        <w:t>2.</w:t>
      </w:r>
      <w:r>
        <w:rPr>
          <w:rFonts w:hint="eastAsia" w:ascii="Times New Roman" w:hAnsi="Times New Roman" w:eastAsia="仿宋_GB2312" w:cs="Times New Roman"/>
          <w:sz w:val="32"/>
        </w:rPr>
        <w:t>年度重点工作任务</w:t>
      </w:r>
      <w:bookmarkEnd w:id="14"/>
      <w:bookmarkEnd w:id="15"/>
    </w:p>
    <w:p w14:paraId="718CAE9E">
      <w:pPr>
        <w:ind w:firstLine="640"/>
        <w:rPr>
          <w:rFonts w:eastAsia="仿宋_GB2312" w:cs="Times New Roman"/>
          <w:sz w:val="32"/>
          <w:szCs w:val="24"/>
          <w:lang w:val="zh-CN"/>
        </w:rPr>
      </w:pPr>
      <w:r>
        <w:rPr>
          <w:rFonts w:hint="eastAsia" w:eastAsia="仿宋_GB2312" w:cs="Times New Roman"/>
          <w:sz w:val="32"/>
          <w:szCs w:val="24"/>
          <w:lang w:val="zh-CN"/>
        </w:rPr>
        <w:t>2020年度重点工作任务主要包括：认真贯彻习近平总书记重要指示批示精神；严格落实市委市政府决策部署；有序推进自然资源和不动产登记；全力加强地质灾害防治和森林防火工作；优化国土空间开发格局，履行用途管制职责；强化资源保障，全力保障地方发展；保障绿色发展，分类实施生态修复；用好卫片执法手段,全力保护各类自然资源；压紧压实管党治党政治责任、加强廉政风险防控、加强廉政思想教育。</w:t>
      </w:r>
    </w:p>
    <w:p w14:paraId="3D13E0E7">
      <w:pPr>
        <w:ind w:firstLine="0" w:firstLineChars="0"/>
        <w:jc w:val="center"/>
        <w:rPr>
          <w:rFonts w:ascii="幼圆" w:hAnsi="宋体" w:eastAsia="幼圆" w:cs="Times New Roman"/>
          <w:b/>
          <w:bCs/>
          <w:szCs w:val="28"/>
        </w:rPr>
      </w:pPr>
      <w:r>
        <w:rPr>
          <w:rFonts w:hint="eastAsia" w:ascii="幼圆" w:eastAsia="幼圆"/>
          <w:b/>
          <w:bCs/>
          <w:szCs w:val="28"/>
        </w:rPr>
        <w:t xml:space="preserve">附表 </w:t>
      </w:r>
      <w:r>
        <w:rPr>
          <w:rFonts w:hint="eastAsia" w:ascii="幼圆" w:hAnsi="宋体" w:eastAsia="幼圆" w:cs="Times New Roman"/>
          <w:b/>
          <w:bCs/>
          <w:szCs w:val="28"/>
        </w:rPr>
        <w:t>自然资源和规划局</w:t>
      </w:r>
      <w:r>
        <w:rPr>
          <w:rFonts w:eastAsia="幼圆" w:cs="Times New Roman"/>
          <w:b/>
          <w:bCs/>
          <w:szCs w:val="28"/>
        </w:rPr>
        <w:t>2020</w:t>
      </w:r>
      <w:r>
        <w:rPr>
          <w:rFonts w:hint="eastAsia" w:ascii="幼圆" w:hAnsi="宋体" w:eastAsia="幼圆" w:cs="Times New Roman"/>
          <w:b/>
          <w:bCs/>
          <w:szCs w:val="28"/>
        </w:rPr>
        <w:t>年重点目标任务</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3"/>
        <w:gridCol w:w="4515"/>
        <w:gridCol w:w="1974"/>
      </w:tblGrid>
      <w:tr w14:paraId="43121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193" w:type="pct"/>
            <w:shd w:val="clear" w:color="auto" w:fill="00516B"/>
            <w:vAlign w:val="center"/>
          </w:tcPr>
          <w:p w14:paraId="3EA7E159">
            <w:pPr>
              <w:spacing w:line="240" w:lineRule="auto"/>
              <w:ind w:firstLine="0" w:firstLineChars="0"/>
              <w:jc w:val="center"/>
              <w:rPr>
                <w:rFonts w:ascii="宋体" w:hAnsi="宋体" w:eastAsia="宋体"/>
                <w:b/>
                <w:bCs/>
                <w:sz w:val="20"/>
                <w:szCs w:val="20"/>
              </w:rPr>
            </w:pPr>
            <w:r>
              <w:rPr>
                <w:rFonts w:hint="eastAsia" w:ascii="宋体" w:hAnsi="宋体" w:eastAsia="宋体"/>
                <w:b/>
                <w:bCs/>
                <w:sz w:val="20"/>
                <w:szCs w:val="20"/>
              </w:rPr>
              <w:t>目标任务</w:t>
            </w:r>
          </w:p>
        </w:tc>
        <w:tc>
          <w:tcPr>
            <w:tcW w:w="2649" w:type="pct"/>
            <w:shd w:val="clear" w:color="auto" w:fill="00516B"/>
            <w:vAlign w:val="center"/>
          </w:tcPr>
          <w:p w14:paraId="497CEE98">
            <w:pPr>
              <w:spacing w:line="240" w:lineRule="auto"/>
              <w:ind w:firstLine="0" w:firstLineChars="0"/>
              <w:jc w:val="center"/>
              <w:rPr>
                <w:rFonts w:ascii="宋体" w:hAnsi="宋体" w:eastAsia="宋体"/>
                <w:b/>
                <w:bCs/>
                <w:sz w:val="20"/>
                <w:szCs w:val="20"/>
              </w:rPr>
            </w:pPr>
            <w:r>
              <w:rPr>
                <w:rFonts w:hint="eastAsia" w:ascii="宋体" w:hAnsi="宋体" w:eastAsia="宋体"/>
                <w:b/>
                <w:bCs/>
                <w:sz w:val="20"/>
                <w:szCs w:val="20"/>
              </w:rPr>
              <w:t>具体内容</w:t>
            </w:r>
          </w:p>
        </w:tc>
        <w:tc>
          <w:tcPr>
            <w:tcW w:w="1158" w:type="pct"/>
            <w:shd w:val="clear" w:color="auto" w:fill="00516B"/>
          </w:tcPr>
          <w:p w14:paraId="58DA2033">
            <w:pPr>
              <w:spacing w:line="240" w:lineRule="auto"/>
              <w:ind w:firstLine="0" w:firstLineChars="0"/>
              <w:jc w:val="center"/>
              <w:rPr>
                <w:rFonts w:ascii="宋体" w:hAnsi="宋体" w:eastAsia="宋体"/>
                <w:b/>
                <w:bCs/>
                <w:sz w:val="20"/>
                <w:szCs w:val="20"/>
              </w:rPr>
            </w:pPr>
            <w:r>
              <w:rPr>
                <w:rFonts w:hint="eastAsia" w:ascii="宋体" w:hAnsi="宋体" w:eastAsia="宋体"/>
                <w:b/>
                <w:bCs/>
                <w:sz w:val="20"/>
                <w:szCs w:val="20"/>
              </w:rPr>
              <w:t>对应股室</w:t>
            </w:r>
          </w:p>
        </w:tc>
      </w:tr>
      <w:tr w14:paraId="44203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pct"/>
            <w:vAlign w:val="center"/>
          </w:tcPr>
          <w:p w14:paraId="28D63150">
            <w:pPr>
              <w:spacing w:line="240" w:lineRule="auto"/>
              <w:ind w:firstLine="0" w:firstLineChars="0"/>
              <w:rPr>
                <w:rFonts w:ascii="宋体" w:hAnsi="宋体" w:eastAsia="宋体"/>
                <w:sz w:val="20"/>
                <w:szCs w:val="20"/>
              </w:rPr>
            </w:pPr>
            <w:r>
              <w:rPr>
                <w:rFonts w:hint="eastAsia" w:ascii="宋体" w:hAnsi="宋体" w:eastAsia="宋体"/>
                <w:sz w:val="20"/>
                <w:szCs w:val="20"/>
              </w:rPr>
              <w:t>认真贯彻习近平总书记重要批示指示精神</w:t>
            </w:r>
          </w:p>
        </w:tc>
        <w:tc>
          <w:tcPr>
            <w:tcW w:w="2649" w:type="pct"/>
            <w:vAlign w:val="center"/>
          </w:tcPr>
          <w:p w14:paraId="3C2E9FA2">
            <w:pPr>
              <w:spacing w:line="240" w:lineRule="auto"/>
              <w:ind w:firstLine="0" w:firstLineChars="0"/>
              <w:rPr>
                <w:rFonts w:ascii="宋体" w:hAnsi="宋体" w:eastAsia="宋体"/>
                <w:sz w:val="20"/>
                <w:szCs w:val="20"/>
              </w:rPr>
            </w:pPr>
            <w:r>
              <w:rPr>
                <w:rFonts w:hint="eastAsia" w:ascii="宋体" w:hAnsi="宋体" w:eastAsia="宋体"/>
                <w:sz w:val="20"/>
                <w:szCs w:val="20"/>
              </w:rPr>
              <w:t>落实总书记对“大棚房”问题,“违建别墅”问题、地灾防治、耕地保护等方面做出的指示批示。</w:t>
            </w:r>
          </w:p>
        </w:tc>
        <w:tc>
          <w:tcPr>
            <w:tcW w:w="1158" w:type="pct"/>
          </w:tcPr>
          <w:p w14:paraId="63AECDF6">
            <w:pPr>
              <w:spacing w:line="240" w:lineRule="auto"/>
              <w:ind w:firstLine="0" w:firstLineChars="0"/>
              <w:jc w:val="center"/>
              <w:rPr>
                <w:rFonts w:ascii="宋体" w:hAnsi="宋体" w:eastAsia="宋体"/>
                <w:sz w:val="20"/>
                <w:szCs w:val="20"/>
              </w:rPr>
            </w:pPr>
            <w:r>
              <w:rPr>
                <w:rFonts w:hint="eastAsia" w:ascii="宋体" w:hAnsi="宋体" w:eastAsia="宋体"/>
                <w:sz w:val="20"/>
                <w:szCs w:val="20"/>
              </w:rPr>
              <w:t>地质矿产监督管理股、国土空间规划与用途管制股、耕地保护监督与生态保护修复股等</w:t>
            </w:r>
          </w:p>
        </w:tc>
      </w:tr>
      <w:tr w14:paraId="44F0F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pct"/>
            <w:vAlign w:val="center"/>
          </w:tcPr>
          <w:p w14:paraId="228A0B8E">
            <w:pPr>
              <w:spacing w:line="240" w:lineRule="auto"/>
              <w:ind w:firstLine="0" w:firstLineChars="0"/>
              <w:rPr>
                <w:rFonts w:ascii="宋体" w:hAnsi="宋体" w:eastAsia="宋体"/>
                <w:sz w:val="20"/>
                <w:szCs w:val="20"/>
              </w:rPr>
            </w:pPr>
            <w:r>
              <w:rPr>
                <w:rFonts w:hint="eastAsia" w:ascii="宋体" w:hAnsi="宋体" w:eastAsia="宋体"/>
                <w:sz w:val="20"/>
                <w:szCs w:val="20"/>
              </w:rPr>
              <w:t>严格落实市委市政府决策部署</w:t>
            </w:r>
          </w:p>
        </w:tc>
        <w:tc>
          <w:tcPr>
            <w:tcW w:w="2649" w:type="pct"/>
            <w:vAlign w:val="center"/>
          </w:tcPr>
          <w:p w14:paraId="24EA1B42">
            <w:pPr>
              <w:spacing w:line="240" w:lineRule="auto"/>
              <w:ind w:firstLine="0" w:firstLineChars="0"/>
              <w:jc w:val="center"/>
              <w:rPr>
                <w:rFonts w:ascii="宋体" w:hAnsi="宋体" w:eastAsia="宋体"/>
                <w:sz w:val="20"/>
                <w:szCs w:val="20"/>
              </w:rPr>
            </w:pPr>
            <w:r>
              <w:rPr>
                <w:rFonts w:hint="eastAsia" w:ascii="宋体" w:hAnsi="宋体" w:eastAsia="宋体"/>
                <w:sz w:val="20"/>
                <w:szCs w:val="20"/>
              </w:rPr>
              <w:t>—</w:t>
            </w:r>
          </w:p>
        </w:tc>
        <w:tc>
          <w:tcPr>
            <w:tcW w:w="1158" w:type="pct"/>
            <w:vAlign w:val="center"/>
          </w:tcPr>
          <w:p w14:paraId="44247031">
            <w:pPr>
              <w:spacing w:line="240" w:lineRule="auto"/>
              <w:ind w:firstLine="0" w:firstLineChars="0"/>
              <w:jc w:val="center"/>
              <w:rPr>
                <w:rFonts w:ascii="宋体" w:hAnsi="宋体" w:eastAsia="宋体"/>
                <w:sz w:val="20"/>
                <w:szCs w:val="20"/>
              </w:rPr>
            </w:pPr>
            <w:r>
              <w:rPr>
                <w:rFonts w:hint="eastAsia" w:ascii="宋体" w:hAnsi="宋体" w:eastAsia="宋体"/>
                <w:sz w:val="20"/>
                <w:szCs w:val="20"/>
              </w:rPr>
              <w:t>所有股室</w:t>
            </w:r>
          </w:p>
        </w:tc>
      </w:tr>
      <w:tr w14:paraId="0911F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pct"/>
            <w:vAlign w:val="center"/>
          </w:tcPr>
          <w:p w14:paraId="6A5A67BC">
            <w:pPr>
              <w:spacing w:line="240" w:lineRule="auto"/>
              <w:ind w:firstLine="0" w:firstLineChars="0"/>
              <w:rPr>
                <w:rFonts w:ascii="宋体" w:hAnsi="宋体" w:eastAsia="宋体"/>
                <w:sz w:val="20"/>
                <w:szCs w:val="20"/>
              </w:rPr>
            </w:pPr>
            <w:bookmarkStart w:id="16" w:name="_Hlk76931812"/>
            <w:r>
              <w:rPr>
                <w:rFonts w:hint="eastAsia" w:ascii="宋体" w:hAnsi="宋体" w:eastAsia="宋体"/>
                <w:sz w:val="20"/>
                <w:szCs w:val="20"/>
              </w:rPr>
              <w:t>有序推进自然资源和不动产登记</w:t>
            </w:r>
          </w:p>
        </w:tc>
        <w:tc>
          <w:tcPr>
            <w:tcW w:w="2649" w:type="pct"/>
            <w:vAlign w:val="center"/>
          </w:tcPr>
          <w:p w14:paraId="294A963A">
            <w:pPr>
              <w:spacing w:line="240" w:lineRule="auto"/>
              <w:ind w:firstLine="0" w:firstLineChars="0"/>
              <w:rPr>
                <w:rFonts w:ascii="宋体" w:hAnsi="宋体" w:eastAsia="宋体"/>
                <w:sz w:val="20"/>
                <w:szCs w:val="20"/>
              </w:rPr>
            </w:pPr>
            <w:r>
              <w:rPr>
                <w:rFonts w:hint="eastAsia" w:ascii="宋体" w:hAnsi="宋体" w:eastAsia="宋体"/>
                <w:sz w:val="20"/>
                <w:szCs w:val="20"/>
              </w:rPr>
              <w:t>逐步实现自然资源确权登记全覆盖；进一步压缩不动产登记办理时限。</w:t>
            </w:r>
          </w:p>
        </w:tc>
        <w:tc>
          <w:tcPr>
            <w:tcW w:w="1158" w:type="pct"/>
            <w:vAlign w:val="center"/>
          </w:tcPr>
          <w:p w14:paraId="2D71FD5F">
            <w:pPr>
              <w:spacing w:line="240" w:lineRule="auto"/>
              <w:ind w:firstLine="0" w:firstLineChars="0"/>
              <w:jc w:val="center"/>
              <w:rPr>
                <w:rFonts w:ascii="宋体" w:hAnsi="宋体" w:eastAsia="宋体"/>
                <w:sz w:val="20"/>
                <w:szCs w:val="20"/>
              </w:rPr>
            </w:pPr>
            <w:r>
              <w:rPr>
                <w:rFonts w:hint="eastAsia" w:ascii="宋体" w:hAnsi="宋体" w:eastAsia="宋体"/>
                <w:sz w:val="20"/>
                <w:szCs w:val="20"/>
              </w:rPr>
              <w:t>自然资源所有者权益与开发利用股</w:t>
            </w:r>
          </w:p>
        </w:tc>
      </w:tr>
      <w:tr w14:paraId="58531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pct"/>
            <w:vAlign w:val="center"/>
          </w:tcPr>
          <w:p w14:paraId="116CDDA8">
            <w:pPr>
              <w:spacing w:line="240" w:lineRule="auto"/>
              <w:ind w:firstLine="0" w:firstLineChars="0"/>
              <w:rPr>
                <w:rFonts w:ascii="宋体" w:hAnsi="宋体" w:eastAsia="宋体"/>
                <w:sz w:val="20"/>
                <w:szCs w:val="20"/>
              </w:rPr>
            </w:pPr>
            <w:r>
              <w:rPr>
                <w:rFonts w:hint="eastAsia" w:ascii="宋体" w:hAnsi="宋体" w:eastAsia="宋体"/>
                <w:sz w:val="20"/>
                <w:szCs w:val="20"/>
              </w:rPr>
              <w:t>全力加强地质灾害防治和森林防火工作</w:t>
            </w:r>
          </w:p>
        </w:tc>
        <w:tc>
          <w:tcPr>
            <w:tcW w:w="2649" w:type="pct"/>
            <w:vAlign w:val="center"/>
          </w:tcPr>
          <w:p w14:paraId="188030ED">
            <w:pPr>
              <w:spacing w:line="240" w:lineRule="auto"/>
              <w:ind w:firstLine="0" w:firstLineChars="0"/>
              <w:rPr>
                <w:rFonts w:ascii="宋体" w:hAnsi="宋体" w:eastAsia="宋体"/>
                <w:sz w:val="20"/>
                <w:szCs w:val="20"/>
              </w:rPr>
            </w:pPr>
            <w:r>
              <w:rPr>
                <w:rFonts w:hint="eastAsia" w:ascii="宋体" w:hAnsi="宋体" w:eastAsia="宋体"/>
                <w:sz w:val="20"/>
                <w:szCs w:val="20"/>
              </w:rPr>
              <w:t>加强地质灾害防治的组织、协调、指导和监督，加强地质灾害预警预报和值班值守，切实做好地质灾害汛前排查、汛中巡查汛后核和应急调查</w:t>
            </w:r>
            <w:r>
              <w:rPr>
                <w:rFonts w:hint="eastAsia" w:ascii="宋体" w:hAnsi="宋体" w:eastAsia="宋体" w:cs="楷体_GB2312"/>
                <w:sz w:val="20"/>
                <w:szCs w:val="20"/>
              </w:rPr>
              <w:t>处置工作。强化火源管控，抓好重点区域火源管控。</w:t>
            </w:r>
          </w:p>
        </w:tc>
        <w:tc>
          <w:tcPr>
            <w:tcW w:w="1158" w:type="pct"/>
            <w:vAlign w:val="center"/>
          </w:tcPr>
          <w:p w14:paraId="08E1C519">
            <w:pPr>
              <w:spacing w:line="240" w:lineRule="auto"/>
              <w:ind w:firstLine="0" w:firstLineChars="0"/>
              <w:jc w:val="center"/>
              <w:rPr>
                <w:rFonts w:ascii="宋体" w:hAnsi="宋体" w:eastAsia="宋体"/>
                <w:sz w:val="20"/>
                <w:szCs w:val="20"/>
              </w:rPr>
            </w:pPr>
            <w:r>
              <w:rPr>
                <w:rFonts w:hint="eastAsia" w:ascii="宋体" w:hAnsi="宋体" w:eastAsia="宋体"/>
                <w:sz w:val="20"/>
                <w:szCs w:val="20"/>
              </w:rPr>
              <w:t>地质矿产监督管理股、森林防火股</w:t>
            </w:r>
          </w:p>
        </w:tc>
      </w:tr>
      <w:tr w14:paraId="73A10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pct"/>
            <w:vAlign w:val="center"/>
          </w:tcPr>
          <w:p w14:paraId="05C49F38">
            <w:pPr>
              <w:spacing w:line="240" w:lineRule="auto"/>
              <w:ind w:firstLine="0" w:firstLineChars="0"/>
              <w:rPr>
                <w:rFonts w:ascii="宋体" w:hAnsi="宋体" w:eastAsia="宋体"/>
                <w:sz w:val="20"/>
                <w:szCs w:val="20"/>
              </w:rPr>
            </w:pPr>
            <w:r>
              <w:rPr>
                <w:rFonts w:hint="eastAsia" w:ascii="宋体" w:hAnsi="宋体" w:eastAsia="宋体"/>
                <w:sz w:val="20"/>
                <w:szCs w:val="20"/>
              </w:rPr>
              <w:t>优化国土空间开发格局，履行用途管制职责</w:t>
            </w:r>
          </w:p>
        </w:tc>
        <w:tc>
          <w:tcPr>
            <w:tcW w:w="2649" w:type="pct"/>
            <w:vAlign w:val="center"/>
          </w:tcPr>
          <w:p w14:paraId="631CC95C">
            <w:pPr>
              <w:spacing w:line="240" w:lineRule="auto"/>
              <w:ind w:firstLine="0" w:firstLineChars="0"/>
              <w:rPr>
                <w:rFonts w:ascii="宋体" w:hAnsi="宋体" w:eastAsia="宋体"/>
                <w:sz w:val="20"/>
                <w:szCs w:val="20"/>
              </w:rPr>
            </w:pPr>
            <w:r>
              <w:rPr>
                <w:rFonts w:hint="eastAsia" w:ascii="宋体" w:hAnsi="宋体" w:eastAsia="宋体"/>
                <w:sz w:val="20"/>
                <w:szCs w:val="20"/>
              </w:rPr>
              <w:t>按照“多规合一”要求，按照“统筹兼顾、上下联动、条块结合、多方参与”的原则，统筹安排各类各业用地。</w:t>
            </w:r>
          </w:p>
        </w:tc>
        <w:tc>
          <w:tcPr>
            <w:tcW w:w="1158" w:type="pct"/>
            <w:vAlign w:val="center"/>
          </w:tcPr>
          <w:p w14:paraId="6265BA18">
            <w:pPr>
              <w:spacing w:line="240" w:lineRule="auto"/>
              <w:ind w:firstLine="0" w:firstLineChars="0"/>
              <w:jc w:val="center"/>
              <w:rPr>
                <w:rFonts w:ascii="宋体" w:hAnsi="宋体" w:eastAsia="宋体"/>
                <w:sz w:val="20"/>
                <w:szCs w:val="20"/>
              </w:rPr>
            </w:pPr>
            <w:r>
              <w:rPr>
                <w:rFonts w:hint="eastAsia" w:ascii="宋体" w:hAnsi="宋体" w:eastAsia="宋体"/>
                <w:sz w:val="20"/>
                <w:szCs w:val="20"/>
              </w:rPr>
              <w:t>国土空间规划与用途管制股</w:t>
            </w:r>
          </w:p>
        </w:tc>
      </w:tr>
      <w:tr w14:paraId="3AECA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pct"/>
            <w:vAlign w:val="center"/>
          </w:tcPr>
          <w:p w14:paraId="03529276">
            <w:pPr>
              <w:spacing w:line="240" w:lineRule="auto"/>
              <w:ind w:firstLine="0" w:firstLineChars="0"/>
              <w:rPr>
                <w:rFonts w:ascii="宋体" w:hAnsi="宋体" w:eastAsia="宋体"/>
                <w:sz w:val="20"/>
                <w:szCs w:val="20"/>
              </w:rPr>
            </w:pPr>
            <w:r>
              <w:rPr>
                <w:rFonts w:hint="eastAsia" w:ascii="宋体" w:hAnsi="宋体" w:eastAsia="宋体"/>
                <w:sz w:val="20"/>
                <w:szCs w:val="20"/>
              </w:rPr>
              <w:t>强化资源保障，全力保障地方发展</w:t>
            </w:r>
          </w:p>
        </w:tc>
        <w:tc>
          <w:tcPr>
            <w:tcW w:w="2649" w:type="pct"/>
            <w:vAlign w:val="center"/>
          </w:tcPr>
          <w:p w14:paraId="11C96D3F">
            <w:pPr>
              <w:spacing w:line="240" w:lineRule="auto"/>
              <w:ind w:firstLine="0" w:firstLineChars="0"/>
              <w:rPr>
                <w:rFonts w:ascii="宋体" w:hAnsi="宋体" w:eastAsia="宋体"/>
                <w:sz w:val="20"/>
                <w:szCs w:val="20"/>
              </w:rPr>
            </w:pPr>
            <w:r>
              <w:rPr>
                <w:rFonts w:hint="eastAsia" w:ascii="宋体" w:hAnsi="宋体" w:eastAsia="宋体"/>
                <w:sz w:val="20"/>
                <w:szCs w:val="20"/>
              </w:rPr>
              <w:t>实行分类管理和差异化的土地供给，做好土门香氛小镇、土门月季园、湿地公园、新市物流园、德阿产业园、九绵园等重点项目的用地保障，完成2020年土地基金收入任务。做好绵竹市第三次全国国土调后续工作。加快推进大熊猫国家公园保护利用设施项目建设。</w:t>
            </w:r>
          </w:p>
        </w:tc>
        <w:tc>
          <w:tcPr>
            <w:tcW w:w="1158" w:type="pct"/>
            <w:vAlign w:val="center"/>
          </w:tcPr>
          <w:p w14:paraId="7330AF08">
            <w:pPr>
              <w:spacing w:line="240" w:lineRule="auto"/>
              <w:ind w:firstLine="0" w:firstLineChars="0"/>
              <w:jc w:val="center"/>
              <w:rPr>
                <w:rFonts w:ascii="宋体" w:hAnsi="宋体" w:eastAsia="宋体"/>
                <w:sz w:val="20"/>
                <w:szCs w:val="20"/>
              </w:rPr>
            </w:pPr>
            <w:r>
              <w:rPr>
                <w:rFonts w:hint="eastAsia" w:ascii="宋体" w:hAnsi="宋体" w:eastAsia="宋体"/>
                <w:sz w:val="20"/>
                <w:szCs w:val="20"/>
              </w:rPr>
              <w:t>国土空间规划与用途管制股、</w:t>
            </w:r>
          </w:p>
          <w:p w14:paraId="7770BC17">
            <w:pPr>
              <w:spacing w:line="240" w:lineRule="auto"/>
              <w:ind w:firstLine="0" w:firstLineChars="0"/>
              <w:jc w:val="center"/>
              <w:rPr>
                <w:rFonts w:ascii="宋体" w:hAnsi="宋体" w:eastAsia="宋体"/>
                <w:sz w:val="20"/>
                <w:szCs w:val="20"/>
              </w:rPr>
            </w:pPr>
            <w:r>
              <w:rPr>
                <w:rFonts w:hint="eastAsia" w:ascii="宋体" w:hAnsi="宋体" w:eastAsia="宋体"/>
                <w:sz w:val="20"/>
                <w:szCs w:val="20"/>
              </w:rPr>
              <w:t>综合财务股</w:t>
            </w:r>
          </w:p>
        </w:tc>
      </w:tr>
      <w:tr w14:paraId="32196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pct"/>
            <w:vAlign w:val="center"/>
          </w:tcPr>
          <w:p w14:paraId="234F540D">
            <w:pPr>
              <w:spacing w:line="240" w:lineRule="auto"/>
              <w:ind w:firstLine="0" w:firstLineChars="0"/>
              <w:rPr>
                <w:rFonts w:ascii="宋体" w:hAnsi="宋体" w:eastAsia="宋体"/>
                <w:sz w:val="20"/>
                <w:szCs w:val="20"/>
              </w:rPr>
            </w:pPr>
            <w:r>
              <w:rPr>
                <w:rFonts w:hint="eastAsia" w:ascii="宋体" w:hAnsi="宋体" w:eastAsia="宋体"/>
                <w:sz w:val="20"/>
                <w:szCs w:val="20"/>
              </w:rPr>
              <w:t>保障绿色发展，分类实施生态修复</w:t>
            </w:r>
          </w:p>
        </w:tc>
        <w:tc>
          <w:tcPr>
            <w:tcW w:w="2649" w:type="pct"/>
            <w:vAlign w:val="center"/>
          </w:tcPr>
          <w:p w14:paraId="35583F67">
            <w:pPr>
              <w:spacing w:line="240" w:lineRule="auto"/>
              <w:ind w:firstLine="0" w:firstLineChars="0"/>
              <w:rPr>
                <w:rFonts w:ascii="宋体" w:hAnsi="宋体" w:eastAsia="宋体"/>
                <w:sz w:val="20"/>
                <w:szCs w:val="20"/>
              </w:rPr>
            </w:pPr>
            <w:r>
              <w:rPr>
                <w:rFonts w:hint="eastAsia" w:ascii="宋体" w:hAnsi="宋体" w:eastAsia="宋体"/>
                <w:sz w:val="20"/>
                <w:szCs w:val="20"/>
              </w:rPr>
              <w:t>全面完成永久基本农田储备划定和永久基本农田划定成果核实整改工作。继续开展大规模绿化行动，促进增绿增质增效。</w:t>
            </w:r>
          </w:p>
        </w:tc>
        <w:tc>
          <w:tcPr>
            <w:tcW w:w="1158" w:type="pct"/>
            <w:vAlign w:val="center"/>
          </w:tcPr>
          <w:p w14:paraId="1585339A">
            <w:pPr>
              <w:spacing w:line="240" w:lineRule="auto"/>
              <w:ind w:firstLine="0" w:firstLineChars="0"/>
              <w:jc w:val="center"/>
              <w:rPr>
                <w:rFonts w:ascii="宋体" w:hAnsi="宋体" w:eastAsia="宋体"/>
                <w:sz w:val="20"/>
                <w:szCs w:val="20"/>
              </w:rPr>
            </w:pPr>
            <w:r>
              <w:rPr>
                <w:rFonts w:hint="eastAsia" w:ascii="宋体" w:hAnsi="宋体" w:eastAsia="宋体"/>
                <w:sz w:val="20"/>
                <w:szCs w:val="20"/>
              </w:rPr>
              <w:t>耕地保护监督与生态保护修复股</w:t>
            </w:r>
          </w:p>
        </w:tc>
      </w:tr>
      <w:tr w14:paraId="24280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pct"/>
            <w:vAlign w:val="center"/>
          </w:tcPr>
          <w:p w14:paraId="13438FFB">
            <w:pPr>
              <w:spacing w:line="240" w:lineRule="auto"/>
              <w:ind w:firstLine="0" w:firstLineChars="0"/>
              <w:rPr>
                <w:rFonts w:ascii="宋体" w:hAnsi="宋体" w:eastAsia="宋体"/>
                <w:sz w:val="20"/>
                <w:szCs w:val="20"/>
              </w:rPr>
            </w:pPr>
            <w:r>
              <w:rPr>
                <w:rFonts w:hint="eastAsia" w:ascii="宋体" w:hAnsi="宋体" w:eastAsia="宋体"/>
                <w:sz w:val="20"/>
                <w:szCs w:val="20"/>
              </w:rPr>
              <w:t>用好卫片执法手段，全力保护各类自然资源</w:t>
            </w:r>
          </w:p>
        </w:tc>
        <w:tc>
          <w:tcPr>
            <w:tcW w:w="2649" w:type="pct"/>
            <w:vAlign w:val="center"/>
          </w:tcPr>
          <w:p w14:paraId="21F75CC3">
            <w:pPr>
              <w:spacing w:line="240" w:lineRule="auto"/>
              <w:ind w:firstLine="0" w:firstLineChars="0"/>
              <w:rPr>
                <w:rFonts w:ascii="宋体" w:hAnsi="宋体" w:eastAsia="宋体"/>
                <w:sz w:val="20"/>
                <w:szCs w:val="20"/>
              </w:rPr>
            </w:pPr>
            <w:r>
              <w:rPr>
                <w:rFonts w:hint="eastAsia" w:ascii="宋体" w:hAnsi="宋体" w:eastAsia="宋体"/>
                <w:sz w:val="20"/>
                <w:szCs w:val="20"/>
              </w:rPr>
              <w:t>进一步强化法律法规宣传力度,引导群众依法合理用地。加强动态巡查,严厉打击各类违法行为,切实履行自然资源保护主体责任。</w:t>
            </w:r>
          </w:p>
        </w:tc>
        <w:tc>
          <w:tcPr>
            <w:tcW w:w="1158" w:type="pct"/>
            <w:vAlign w:val="center"/>
          </w:tcPr>
          <w:p w14:paraId="29AE70BE">
            <w:pPr>
              <w:spacing w:line="240" w:lineRule="auto"/>
              <w:ind w:firstLine="0" w:firstLineChars="0"/>
              <w:jc w:val="center"/>
              <w:rPr>
                <w:rFonts w:ascii="宋体" w:hAnsi="宋体" w:eastAsia="宋体"/>
                <w:sz w:val="20"/>
                <w:szCs w:val="20"/>
              </w:rPr>
            </w:pPr>
            <w:r>
              <w:rPr>
                <w:rFonts w:hint="eastAsia" w:ascii="宋体" w:hAnsi="宋体" w:eastAsia="宋体"/>
                <w:sz w:val="20"/>
                <w:szCs w:val="20"/>
              </w:rPr>
              <w:t>法规股</w:t>
            </w:r>
          </w:p>
        </w:tc>
      </w:tr>
      <w:tr w14:paraId="101D2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pct"/>
            <w:vAlign w:val="center"/>
          </w:tcPr>
          <w:p w14:paraId="2E0589D4">
            <w:pPr>
              <w:spacing w:line="240" w:lineRule="auto"/>
              <w:ind w:firstLine="0" w:firstLineChars="0"/>
              <w:rPr>
                <w:rFonts w:ascii="宋体" w:hAnsi="宋体" w:eastAsia="宋体"/>
                <w:sz w:val="20"/>
                <w:szCs w:val="20"/>
              </w:rPr>
            </w:pPr>
            <w:r>
              <w:rPr>
                <w:rFonts w:hint="eastAsia" w:ascii="宋体" w:hAnsi="宋体" w:eastAsia="宋体"/>
                <w:sz w:val="20"/>
                <w:szCs w:val="20"/>
              </w:rPr>
              <w:t>压紧压实管党治党政治责任、加强廉政风险防控、加强廉政思想教育</w:t>
            </w:r>
          </w:p>
        </w:tc>
        <w:tc>
          <w:tcPr>
            <w:tcW w:w="2649" w:type="pct"/>
            <w:vAlign w:val="center"/>
          </w:tcPr>
          <w:p w14:paraId="25855F49">
            <w:pPr>
              <w:spacing w:line="240" w:lineRule="auto"/>
              <w:ind w:firstLine="0" w:firstLineChars="0"/>
              <w:rPr>
                <w:rFonts w:ascii="宋体" w:hAnsi="宋体" w:eastAsia="宋体"/>
                <w:sz w:val="20"/>
                <w:szCs w:val="20"/>
              </w:rPr>
            </w:pPr>
            <w:r>
              <w:rPr>
                <w:rFonts w:hint="eastAsia" w:ascii="宋体" w:hAnsi="宋体" w:eastAsia="宋体"/>
                <w:sz w:val="20"/>
                <w:szCs w:val="20"/>
              </w:rPr>
              <w:t>保持反腐败高压态势,始终将纪律挺在前面,坚持无禁区、全覆盖、零容忍。聚焦土地出让、项目审批等重点领域,系统梳理存在的廉政风险点,及时完善防控措施。</w:t>
            </w:r>
          </w:p>
          <w:p w14:paraId="08A5421F">
            <w:pPr>
              <w:spacing w:line="240" w:lineRule="auto"/>
              <w:ind w:firstLine="0" w:firstLineChars="0"/>
              <w:rPr>
                <w:rFonts w:ascii="宋体" w:hAnsi="宋体" w:eastAsia="宋体"/>
                <w:sz w:val="20"/>
                <w:szCs w:val="20"/>
              </w:rPr>
            </w:pPr>
            <w:r>
              <w:rPr>
                <w:rFonts w:hint="eastAsia" w:ascii="宋体" w:hAnsi="宋体" w:eastAsia="宋体"/>
                <w:sz w:val="20"/>
                <w:szCs w:val="20"/>
              </w:rPr>
              <w:t>把法纪教育、廉政勤政教育和警示教育结合起来,丰富教育内容,创新教育形式,不断夯实干部的防腐防线。</w:t>
            </w:r>
          </w:p>
        </w:tc>
        <w:tc>
          <w:tcPr>
            <w:tcW w:w="1158" w:type="pct"/>
            <w:vAlign w:val="center"/>
          </w:tcPr>
          <w:p w14:paraId="46E6677E">
            <w:pPr>
              <w:spacing w:line="240" w:lineRule="auto"/>
              <w:ind w:firstLine="0" w:firstLineChars="0"/>
              <w:jc w:val="center"/>
              <w:rPr>
                <w:rFonts w:ascii="宋体" w:hAnsi="宋体" w:eastAsia="宋体"/>
                <w:sz w:val="20"/>
                <w:szCs w:val="20"/>
              </w:rPr>
            </w:pPr>
            <w:r>
              <w:rPr>
                <w:rFonts w:hint="eastAsia" w:ascii="宋体" w:hAnsi="宋体" w:eastAsia="宋体"/>
                <w:sz w:val="20"/>
                <w:szCs w:val="20"/>
              </w:rPr>
              <w:t>办公室</w:t>
            </w:r>
          </w:p>
        </w:tc>
      </w:tr>
      <w:bookmarkEnd w:id="16"/>
    </w:tbl>
    <w:p w14:paraId="49F49FFB">
      <w:pPr>
        <w:ind w:firstLine="643"/>
        <w:rPr>
          <w:rFonts w:cs="Times New Roman"/>
          <w:b/>
          <w:bCs/>
          <w:sz w:val="32"/>
          <w:szCs w:val="32"/>
        </w:rPr>
      </w:pPr>
    </w:p>
    <w:p w14:paraId="48AA4975">
      <w:pPr>
        <w:pStyle w:val="2"/>
        <w:ind w:firstLine="640" w:firstLineChars="200"/>
        <w:jc w:val="both"/>
        <w:rPr>
          <w:rFonts w:cs="Times New Roman"/>
          <w:b w:val="0"/>
          <w:bCs w:val="0"/>
          <w:sz w:val="32"/>
          <w:szCs w:val="32"/>
        </w:rPr>
      </w:pPr>
      <w:bookmarkStart w:id="17" w:name="_Toc77784239"/>
      <w:r>
        <w:rPr>
          <w:rFonts w:hint="eastAsia" w:cs="Times New Roman"/>
          <w:b w:val="0"/>
          <w:bCs w:val="0"/>
          <w:sz w:val="32"/>
          <w:szCs w:val="32"/>
        </w:rPr>
        <w:t>二、预算管理情况</w:t>
      </w:r>
      <w:bookmarkEnd w:id="17"/>
    </w:p>
    <w:p w14:paraId="47D0EF36">
      <w:pPr>
        <w:ind w:firstLine="640"/>
        <w:rPr>
          <w:rFonts w:eastAsia="仿宋_GB2312" w:cs="Times New Roman"/>
          <w:sz w:val="32"/>
          <w:szCs w:val="24"/>
          <w:lang w:val="zh-CN"/>
        </w:rPr>
      </w:pPr>
      <w:r>
        <w:rPr>
          <w:rFonts w:hint="eastAsia" w:eastAsia="仿宋_GB2312" w:cs="Times New Roman"/>
          <w:sz w:val="32"/>
          <w:szCs w:val="24"/>
          <w:lang w:val="zh-CN"/>
        </w:rPr>
        <w:t>在预算管理指标上，设定预算编制和预算执行两个方面。总体而言，预算执行进度较好，预算编制精准度有待提升。</w:t>
      </w:r>
    </w:p>
    <w:p w14:paraId="3575BF10">
      <w:pPr>
        <w:ind w:firstLine="0" w:firstLineChars="0"/>
        <w:jc w:val="center"/>
        <w:rPr>
          <w:rFonts w:eastAsia="幼圆" w:cs="Times New Roman"/>
          <w:b/>
          <w:szCs w:val="32"/>
        </w:rPr>
      </w:pPr>
      <w:r>
        <w:rPr>
          <w:rFonts w:eastAsia="幼圆" w:cs="Times New Roman"/>
          <w:b/>
          <w:szCs w:val="32"/>
        </w:rPr>
        <w:t>附表</w:t>
      </w:r>
      <w:r>
        <w:rPr>
          <w:rFonts w:hint="eastAsia" w:eastAsia="幼圆" w:cs="Times New Roman"/>
          <w:b/>
          <w:szCs w:val="32"/>
        </w:rPr>
        <w:t>预算</w:t>
      </w:r>
      <w:r>
        <w:rPr>
          <w:rFonts w:eastAsia="幼圆" w:cs="Times New Roman"/>
          <w:b/>
          <w:szCs w:val="32"/>
        </w:rPr>
        <w:t>管理指标得分情况</w:t>
      </w:r>
    </w:p>
    <w:tbl>
      <w:tblPr>
        <w:tblStyle w:val="22"/>
        <w:tblW w:w="5000" w:type="pct"/>
        <w:tblInd w:w="0" w:type="dxa"/>
        <w:tblLayout w:type="fixed"/>
        <w:tblCellMar>
          <w:top w:w="0" w:type="dxa"/>
          <w:left w:w="108" w:type="dxa"/>
          <w:bottom w:w="0" w:type="dxa"/>
          <w:right w:w="108" w:type="dxa"/>
        </w:tblCellMar>
      </w:tblPr>
      <w:tblGrid>
        <w:gridCol w:w="1305"/>
        <w:gridCol w:w="2038"/>
        <w:gridCol w:w="2476"/>
        <w:gridCol w:w="869"/>
        <w:gridCol w:w="770"/>
        <w:gridCol w:w="1064"/>
      </w:tblGrid>
      <w:tr w14:paraId="60B60F9C">
        <w:tblPrEx>
          <w:tblCellMar>
            <w:top w:w="0" w:type="dxa"/>
            <w:left w:w="108" w:type="dxa"/>
            <w:bottom w:w="0" w:type="dxa"/>
            <w:right w:w="108" w:type="dxa"/>
          </w:tblCellMar>
        </w:tblPrEx>
        <w:trPr>
          <w:trHeight w:val="288" w:hRule="atLeast"/>
          <w:tblHeader/>
        </w:trPr>
        <w:tc>
          <w:tcPr>
            <w:tcW w:w="765" w:type="pct"/>
            <w:tcBorders>
              <w:top w:val="single" w:color="auto" w:sz="4" w:space="0"/>
              <w:left w:val="single" w:color="auto" w:sz="4" w:space="0"/>
              <w:bottom w:val="single" w:color="auto" w:sz="4" w:space="0"/>
              <w:right w:val="single" w:color="auto" w:sz="4" w:space="0"/>
            </w:tcBorders>
            <w:shd w:val="clear" w:color="000000" w:fill="00516B"/>
            <w:vAlign w:val="center"/>
          </w:tcPr>
          <w:p w14:paraId="012F977E">
            <w:pPr>
              <w:widowControl/>
              <w:spacing w:line="240" w:lineRule="auto"/>
              <w:ind w:firstLine="0" w:firstLineChars="0"/>
              <w:jc w:val="center"/>
              <w:rPr>
                <w:rFonts w:eastAsia="宋体" w:cs="Times New Roman"/>
                <w:b/>
                <w:bCs/>
                <w:color w:val="FFFFFF"/>
                <w:kern w:val="0"/>
                <w:sz w:val="20"/>
                <w:szCs w:val="20"/>
              </w:rPr>
            </w:pPr>
            <w:r>
              <w:rPr>
                <w:rFonts w:hint="eastAsia" w:ascii="宋体" w:hAnsi="宋体" w:eastAsia="宋体" w:cs="Times New Roman"/>
                <w:b/>
                <w:bCs/>
                <w:color w:val="FFFFFF"/>
                <w:kern w:val="0"/>
                <w:sz w:val="20"/>
                <w:szCs w:val="20"/>
              </w:rPr>
              <w:t>一级指标</w:t>
            </w:r>
          </w:p>
        </w:tc>
        <w:tc>
          <w:tcPr>
            <w:tcW w:w="1195" w:type="pct"/>
            <w:tcBorders>
              <w:top w:val="single" w:color="auto" w:sz="4" w:space="0"/>
              <w:left w:val="nil"/>
              <w:bottom w:val="single" w:color="auto" w:sz="4" w:space="0"/>
              <w:right w:val="single" w:color="auto" w:sz="4" w:space="0"/>
            </w:tcBorders>
            <w:shd w:val="clear" w:color="000000" w:fill="00516B"/>
            <w:noWrap/>
            <w:vAlign w:val="center"/>
          </w:tcPr>
          <w:p w14:paraId="19D3659D">
            <w:pPr>
              <w:widowControl/>
              <w:spacing w:line="240" w:lineRule="auto"/>
              <w:ind w:firstLine="0" w:firstLineChars="0"/>
              <w:jc w:val="center"/>
              <w:rPr>
                <w:rFonts w:eastAsia="宋体" w:cs="Times New Roman"/>
                <w:b/>
                <w:bCs/>
                <w:color w:val="FFFFFF"/>
                <w:kern w:val="0"/>
                <w:sz w:val="20"/>
                <w:szCs w:val="20"/>
              </w:rPr>
            </w:pPr>
            <w:r>
              <w:rPr>
                <w:rFonts w:hint="eastAsia" w:ascii="宋体" w:hAnsi="宋体" w:eastAsia="宋体" w:cs="Times New Roman"/>
                <w:b/>
                <w:bCs/>
                <w:color w:val="FFFFFF"/>
                <w:kern w:val="0"/>
                <w:sz w:val="20"/>
                <w:szCs w:val="20"/>
              </w:rPr>
              <w:t>二级指标</w:t>
            </w:r>
          </w:p>
        </w:tc>
        <w:tc>
          <w:tcPr>
            <w:tcW w:w="1453" w:type="pct"/>
            <w:tcBorders>
              <w:top w:val="single" w:color="auto" w:sz="4" w:space="0"/>
              <w:left w:val="nil"/>
              <w:bottom w:val="single" w:color="auto" w:sz="4" w:space="0"/>
              <w:right w:val="single" w:color="auto" w:sz="4" w:space="0"/>
            </w:tcBorders>
            <w:shd w:val="clear" w:color="000000" w:fill="00516B"/>
            <w:noWrap/>
            <w:vAlign w:val="center"/>
          </w:tcPr>
          <w:p w14:paraId="5DEDEB49">
            <w:pPr>
              <w:widowControl/>
              <w:spacing w:line="240" w:lineRule="auto"/>
              <w:ind w:firstLine="0" w:firstLineChars="0"/>
              <w:jc w:val="center"/>
              <w:rPr>
                <w:rFonts w:eastAsia="宋体" w:cs="Times New Roman"/>
                <w:b/>
                <w:bCs/>
                <w:color w:val="FFFFFF"/>
                <w:kern w:val="0"/>
                <w:sz w:val="20"/>
                <w:szCs w:val="20"/>
              </w:rPr>
            </w:pPr>
            <w:r>
              <w:rPr>
                <w:rFonts w:hint="eastAsia" w:ascii="宋体" w:hAnsi="宋体" w:eastAsia="宋体" w:cs="Times New Roman"/>
                <w:b/>
                <w:bCs/>
                <w:color w:val="FFFFFF"/>
                <w:kern w:val="0"/>
                <w:sz w:val="20"/>
                <w:szCs w:val="20"/>
              </w:rPr>
              <w:t>三级指标</w:t>
            </w:r>
          </w:p>
        </w:tc>
        <w:tc>
          <w:tcPr>
            <w:tcW w:w="510" w:type="pct"/>
            <w:tcBorders>
              <w:top w:val="single" w:color="auto" w:sz="4" w:space="0"/>
              <w:left w:val="nil"/>
              <w:bottom w:val="single" w:color="auto" w:sz="4" w:space="0"/>
              <w:right w:val="single" w:color="auto" w:sz="4" w:space="0"/>
            </w:tcBorders>
            <w:shd w:val="clear" w:color="000000" w:fill="00516B"/>
            <w:vAlign w:val="center"/>
          </w:tcPr>
          <w:p w14:paraId="0B683E28">
            <w:pPr>
              <w:widowControl/>
              <w:spacing w:line="240" w:lineRule="auto"/>
              <w:ind w:firstLine="0" w:firstLineChars="0"/>
              <w:jc w:val="center"/>
              <w:rPr>
                <w:rFonts w:eastAsia="宋体" w:cs="Times New Roman"/>
                <w:b/>
                <w:bCs/>
                <w:color w:val="FFFFFF"/>
                <w:kern w:val="0"/>
                <w:sz w:val="20"/>
                <w:szCs w:val="20"/>
              </w:rPr>
            </w:pPr>
            <w:r>
              <w:rPr>
                <w:rFonts w:hint="eastAsia" w:ascii="宋体" w:hAnsi="宋体" w:eastAsia="宋体" w:cs="Times New Roman"/>
                <w:b/>
                <w:bCs/>
                <w:color w:val="FFFFFF"/>
                <w:kern w:val="0"/>
                <w:sz w:val="20"/>
                <w:szCs w:val="20"/>
              </w:rPr>
              <w:t>分值</w:t>
            </w:r>
          </w:p>
        </w:tc>
        <w:tc>
          <w:tcPr>
            <w:tcW w:w="452" w:type="pct"/>
            <w:tcBorders>
              <w:top w:val="single" w:color="auto" w:sz="4" w:space="0"/>
              <w:left w:val="nil"/>
              <w:bottom w:val="single" w:color="auto" w:sz="4" w:space="0"/>
              <w:right w:val="single" w:color="auto" w:sz="4" w:space="0"/>
            </w:tcBorders>
            <w:shd w:val="clear" w:color="000000" w:fill="00516B"/>
            <w:vAlign w:val="center"/>
          </w:tcPr>
          <w:p w14:paraId="39252C3E">
            <w:pPr>
              <w:widowControl/>
              <w:spacing w:line="240" w:lineRule="auto"/>
              <w:ind w:firstLine="0" w:firstLineChars="0"/>
              <w:jc w:val="center"/>
              <w:rPr>
                <w:rFonts w:eastAsia="宋体" w:cs="Times New Roman"/>
                <w:b/>
                <w:bCs/>
                <w:color w:val="FFFFFF"/>
                <w:kern w:val="0"/>
                <w:sz w:val="20"/>
                <w:szCs w:val="20"/>
              </w:rPr>
            </w:pPr>
            <w:r>
              <w:rPr>
                <w:rFonts w:hint="eastAsia" w:ascii="宋体" w:hAnsi="宋体" w:eastAsia="宋体" w:cs="Times New Roman"/>
                <w:b/>
                <w:bCs/>
                <w:color w:val="FFFFFF"/>
                <w:kern w:val="0"/>
                <w:sz w:val="20"/>
                <w:szCs w:val="20"/>
              </w:rPr>
              <w:t>得分</w:t>
            </w:r>
          </w:p>
        </w:tc>
        <w:tc>
          <w:tcPr>
            <w:tcW w:w="624" w:type="pct"/>
            <w:tcBorders>
              <w:top w:val="single" w:color="auto" w:sz="4" w:space="0"/>
              <w:left w:val="nil"/>
              <w:bottom w:val="single" w:color="auto" w:sz="4" w:space="0"/>
              <w:right w:val="single" w:color="auto" w:sz="4" w:space="0"/>
            </w:tcBorders>
            <w:shd w:val="clear" w:color="000000" w:fill="00516B"/>
            <w:vAlign w:val="center"/>
          </w:tcPr>
          <w:p w14:paraId="621F2AB3">
            <w:pPr>
              <w:widowControl/>
              <w:spacing w:line="240" w:lineRule="auto"/>
              <w:ind w:firstLine="0" w:firstLineChars="0"/>
              <w:jc w:val="center"/>
              <w:rPr>
                <w:rFonts w:eastAsia="宋体" w:cs="Times New Roman"/>
                <w:b/>
                <w:bCs/>
                <w:color w:val="FFFFFF"/>
                <w:kern w:val="0"/>
                <w:sz w:val="20"/>
                <w:szCs w:val="20"/>
              </w:rPr>
            </w:pPr>
            <w:r>
              <w:rPr>
                <w:rFonts w:hint="eastAsia" w:ascii="宋体" w:hAnsi="宋体" w:eastAsia="宋体" w:cs="Times New Roman"/>
                <w:b/>
                <w:bCs/>
                <w:color w:val="FFFFFF"/>
                <w:kern w:val="0"/>
                <w:sz w:val="20"/>
                <w:szCs w:val="20"/>
              </w:rPr>
              <w:t>得分率</w:t>
            </w:r>
          </w:p>
        </w:tc>
      </w:tr>
      <w:tr w14:paraId="45C393B1">
        <w:tblPrEx>
          <w:tblCellMar>
            <w:top w:w="0" w:type="dxa"/>
            <w:left w:w="108" w:type="dxa"/>
            <w:bottom w:w="0" w:type="dxa"/>
            <w:right w:w="108" w:type="dxa"/>
          </w:tblCellMar>
        </w:tblPrEx>
        <w:trPr>
          <w:trHeight w:val="288" w:hRule="atLeast"/>
        </w:trPr>
        <w:tc>
          <w:tcPr>
            <w:tcW w:w="765" w:type="pct"/>
            <w:vMerge w:val="restart"/>
            <w:tcBorders>
              <w:top w:val="single" w:color="auto" w:sz="4" w:space="0"/>
              <w:left w:val="single" w:color="auto" w:sz="4" w:space="0"/>
              <w:right w:val="single" w:color="auto" w:sz="4" w:space="0"/>
            </w:tcBorders>
            <w:shd w:val="clear" w:color="auto" w:fill="auto"/>
            <w:vAlign w:val="center"/>
          </w:tcPr>
          <w:p w14:paraId="4381B3CE">
            <w:pPr>
              <w:widowControl/>
              <w:spacing w:line="240" w:lineRule="auto"/>
              <w:ind w:firstLine="0" w:firstLineChars="0"/>
              <w:jc w:val="center"/>
              <w:rPr>
                <w:rFonts w:ascii="宋体" w:hAnsi="宋体" w:eastAsia="宋体" w:cs="Times New Roman"/>
                <w:kern w:val="0"/>
                <w:sz w:val="20"/>
                <w:szCs w:val="20"/>
              </w:rPr>
            </w:pPr>
            <w:r>
              <w:rPr>
                <w:rFonts w:hint="eastAsia" w:ascii="宋体" w:hAnsi="宋体" w:eastAsia="宋体" w:cs="Times New Roman"/>
                <w:kern w:val="0"/>
                <w:sz w:val="20"/>
                <w:szCs w:val="20"/>
              </w:rPr>
              <w:t>预算管理</w:t>
            </w:r>
          </w:p>
          <w:p w14:paraId="61DBC166">
            <w:pPr>
              <w:widowControl/>
              <w:spacing w:line="240" w:lineRule="auto"/>
              <w:ind w:firstLine="0" w:firstLineChars="0"/>
              <w:jc w:val="center"/>
              <w:rPr>
                <w:rFonts w:eastAsia="宋体" w:cs="Times New Roman"/>
                <w:kern w:val="0"/>
                <w:sz w:val="20"/>
                <w:szCs w:val="20"/>
              </w:rPr>
            </w:pPr>
            <w:r>
              <w:rPr>
                <w:rFonts w:hint="eastAsia" w:ascii="宋体" w:hAnsi="宋体" w:eastAsia="宋体" w:cs="Times New Roman"/>
                <w:kern w:val="0"/>
                <w:sz w:val="20"/>
                <w:szCs w:val="20"/>
              </w:rPr>
              <w:t>（</w:t>
            </w:r>
            <w:r>
              <w:rPr>
                <w:rFonts w:eastAsia="宋体" w:cs="Times New Roman"/>
                <w:kern w:val="0"/>
                <w:sz w:val="20"/>
                <w:szCs w:val="20"/>
              </w:rPr>
              <w:t>10</w:t>
            </w:r>
            <w:r>
              <w:rPr>
                <w:rFonts w:hint="eastAsia" w:ascii="宋体" w:hAnsi="宋体" w:eastAsia="宋体" w:cs="Times New Roman"/>
                <w:kern w:val="0"/>
                <w:sz w:val="20"/>
                <w:szCs w:val="20"/>
              </w:rPr>
              <w:t>分）</w:t>
            </w:r>
          </w:p>
        </w:tc>
        <w:tc>
          <w:tcPr>
            <w:tcW w:w="1195" w:type="pct"/>
            <w:tcBorders>
              <w:top w:val="single" w:color="auto" w:sz="4" w:space="0"/>
              <w:left w:val="nil"/>
              <w:bottom w:val="single" w:color="auto" w:sz="4" w:space="0"/>
              <w:right w:val="single" w:color="auto" w:sz="4" w:space="0"/>
            </w:tcBorders>
            <w:shd w:val="clear" w:color="auto" w:fill="auto"/>
            <w:noWrap/>
            <w:vAlign w:val="center"/>
          </w:tcPr>
          <w:p w14:paraId="46973E8C">
            <w:pPr>
              <w:widowControl/>
              <w:spacing w:line="240" w:lineRule="auto"/>
              <w:ind w:firstLine="0" w:firstLineChars="0"/>
              <w:jc w:val="center"/>
              <w:rPr>
                <w:rFonts w:eastAsia="宋体" w:cs="Times New Roman"/>
                <w:kern w:val="0"/>
                <w:sz w:val="20"/>
                <w:szCs w:val="20"/>
              </w:rPr>
            </w:pPr>
            <w:r>
              <w:rPr>
                <w:rFonts w:hint="eastAsia" w:ascii="宋体" w:hAnsi="宋体" w:eastAsia="宋体" w:cs="Times New Roman"/>
                <w:kern w:val="0"/>
                <w:sz w:val="20"/>
                <w:szCs w:val="20"/>
              </w:rPr>
              <w:t>预算编制</w:t>
            </w:r>
          </w:p>
        </w:tc>
        <w:tc>
          <w:tcPr>
            <w:tcW w:w="1453" w:type="pct"/>
            <w:tcBorders>
              <w:top w:val="single" w:color="auto" w:sz="4" w:space="0"/>
              <w:left w:val="nil"/>
              <w:bottom w:val="single" w:color="auto" w:sz="4" w:space="0"/>
              <w:right w:val="single" w:color="auto" w:sz="4" w:space="0"/>
            </w:tcBorders>
            <w:shd w:val="clear" w:color="auto" w:fill="auto"/>
            <w:vAlign w:val="center"/>
          </w:tcPr>
          <w:p w14:paraId="33474831">
            <w:pPr>
              <w:widowControl/>
              <w:spacing w:line="240" w:lineRule="auto"/>
              <w:ind w:firstLine="0" w:firstLineChars="0"/>
              <w:jc w:val="center"/>
              <w:rPr>
                <w:rFonts w:eastAsia="宋体" w:cs="Times New Roman"/>
                <w:kern w:val="0"/>
                <w:sz w:val="20"/>
                <w:szCs w:val="20"/>
              </w:rPr>
            </w:pPr>
            <w:r>
              <w:rPr>
                <w:rFonts w:hint="eastAsia" w:ascii="宋体" w:hAnsi="宋体" w:eastAsia="宋体" w:cs="Times New Roman"/>
                <w:kern w:val="0"/>
                <w:sz w:val="20"/>
                <w:szCs w:val="20"/>
              </w:rPr>
              <w:t>预算安排准确性</w:t>
            </w:r>
          </w:p>
        </w:tc>
        <w:tc>
          <w:tcPr>
            <w:tcW w:w="510" w:type="pct"/>
            <w:tcBorders>
              <w:top w:val="single" w:color="auto" w:sz="4" w:space="0"/>
              <w:left w:val="nil"/>
              <w:bottom w:val="single" w:color="auto" w:sz="4" w:space="0"/>
              <w:right w:val="single" w:color="auto" w:sz="4" w:space="0"/>
            </w:tcBorders>
            <w:shd w:val="clear" w:color="auto" w:fill="auto"/>
            <w:vAlign w:val="center"/>
          </w:tcPr>
          <w:p w14:paraId="50A956A4">
            <w:pPr>
              <w:widowControl/>
              <w:spacing w:line="240" w:lineRule="auto"/>
              <w:ind w:firstLine="0" w:firstLineChars="0"/>
              <w:jc w:val="center"/>
              <w:rPr>
                <w:rFonts w:eastAsia="宋体" w:cs="Times New Roman"/>
                <w:kern w:val="0"/>
                <w:sz w:val="20"/>
                <w:szCs w:val="20"/>
              </w:rPr>
            </w:pPr>
            <w:r>
              <w:rPr>
                <w:rFonts w:eastAsia="宋体" w:cs="Times New Roman"/>
                <w:kern w:val="0"/>
                <w:sz w:val="20"/>
                <w:szCs w:val="20"/>
              </w:rPr>
              <w:t>5.00</w:t>
            </w:r>
          </w:p>
        </w:tc>
        <w:tc>
          <w:tcPr>
            <w:tcW w:w="452" w:type="pct"/>
            <w:tcBorders>
              <w:top w:val="single" w:color="auto" w:sz="4" w:space="0"/>
              <w:left w:val="nil"/>
              <w:bottom w:val="single" w:color="auto" w:sz="4" w:space="0"/>
              <w:right w:val="single" w:color="auto" w:sz="4" w:space="0"/>
            </w:tcBorders>
            <w:shd w:val="clear" w:color="auto" w:fill="auto"/>
            <w:noWrap/>
            <w:vAlign w:val="center"/>
          </w:tcPr>
          <w:p w14:paraId="0B6DBF6D">
            <w:pPr>
              <w:widowControl/>
              <w:spacing w:line="240" w:lineRule="auto"/>
              <w:ind w:firstLine="0" w:firstLineChars="0"/>
              <w:jc w:val="center"/>
              <w:rPr>
                <w:rFonts w:eastAsia="宋体" w:cs="Times New Roman"/>
                <w:kern w:val="0"/>
                <w:sz w:val="20"/>
                <w:szCs w:val="20"/>
              </w:rPr>
            </w:pPr>
            <w:r>
              <w:rPr>
                <w:rFonts w:eastAsia="宋体" w:cs="Times New Roman"/>
                <w:kern w:val="0"/>
                <w:sz w:val="20"/>
                <w:szCs w:val="20"/>
              </w:rPr>
              <w:t>4.95</w:t>
            </w:r>
          </w:p>
        </w:tc>
        <w:tc>
          <w:tcPr>
            <w:tcW w:w="624" w:type="pct"/>
            <w:tcBorders>
              <w:top w:val="single" w:color="auto" w:sz="4" w:space="0"/>
              <w:left w:val="nil"/>
              <w:bottom w:val="single" w:color="auto" w:sz="4" w:space="0"/>
              <w:right w:val="single" w:color="auto" w:sz="4" w:space="0"/>
            </w:tcBorders>
            <w:shd w:val="clear" w:color="auto" w:fill="auto"/>
            <w:noWrap/>
            <w:vAlign w:val="center"/>
          </w:tcPr>
          <w:p w14:paraId="0C557704">
            <w:pPr>
              <w:widowControl/>
              <w:spacing w:line="240" w:lineRule="auto"/>
              <w:ind w:firstLine="0" w:firstLineChars="0"/>
              <w:jc w:val="right"/>
              <w:rPr>
                <w:rFonts w:eastAsia="宋体" w:cs="Times New Roman"/>
                <w:kern w:val="0"/>
                <w:sz w:val="20"/>
                <w:szCs w:val="20"/>
              </w:rPr>
            </w:pPr>
            <w:r>
              <w:rPr>
                <w:rFonts w:eastAsia="宋体" w:cs="Times New Roman"/>
                <w:kern w:val="0"/>
                <w:sz w:val="20"/>
                <w:szCs w:val="20"/>
              </w:rPr>
              <w:t>98.94%</w:t>
            </w:r>
          </w:p>
        </w:tc>
      </w:tr>
      <w:tr w14:paraId="14CB8199">
        <w:tblPrEx>
          <w:tblCellMar>
            <w:top w:w="0" w:type="dxa"/>
            <w:left w:w="108" w:type="dxa"/>
            <w:bottom w:w="0" w:type="dxa"/>
            <w:right w:w="108" w:type="dxa"/>
          </w:tblCellMar>
        </w:tblPrEx>
        <w:trPr>
          <w:trHeight w:val="288" w:hRule="atLeast"/>
        </w:trPr>
        <w:tc>
          <w:tcPr>
            <w:tcW w:w="765" w:type="pct"/>
            <w:vMerge w:val="continue"/>
            <w:tcBorders>
              <w:left w:val="single" w:color="auto" w:sz="4" w:space="0"/>
              <w:right w:val="single" w:color="auto" w:sz="4" w:space="0"/>
            </w:tcBorders>
            <w:vAlign w:val="center"/>
          </w:tcPr>
          <w:p w14:paraId="7B05D2D3">
            <w:pPr>
              <w:widowControl/>
              <w:spacing w:line="240" w:lineRule="auto"/>
              <w:ind w:firstLine="0" w:firstLineChars="0"/>
              <w:jc w:val="left"/>
              <w:rPr>
                <w:rFonts w:eastAsia="宋体" w:cs="Times New Roman"/>
                <w:kern w:val="0"/>
                <w:sz w:val="20"/>
                <w:szCs w:val="20"/>
              </w:rPr>
            </w:pPr>
          </w:p>
        </w:tc>
        <w:tc>
          <w:tcPr>
            <w:tcW w:w="1195" w:type="pct"/>
            <w:tcBorders>
              <w:top w:val="single" w:color="auto" w:sz="4" w:space="0"/>
              <w:left w:val="nil"/>
              <w:bottom w:val="single" w:color="auto" w:sz="4" w:space="0"/>
              <w:right w:val="single" w:color="auto" w:sz="4" w:space="0"/>
            </w:tcBorders>
            <w:shd w:val="clear" w:color="auto" w:fill="auto"/>
            <w:noWrap/>
            <w:vAlign w:val="center"/>
          </w:tcPr>
          <w:p w14:paraId="2975ED94">
            <w:pPr>
              <w:widowControl/>
              <w:spacing w:line="240" w:lineRule="auto"/>
              <w:ind w:firstLine="0" w:firstLineChars="0"/>
              <w:jc w:val="center"/>
              <w:rPr>
                <w:rFonts w:eastAsia="宋体" w:cs="Times New Roman"/>
                <w:kern w:val="0"/>
                <w:sz w:val="20"/>
                <w:szCs w:val="20"/>
              </w:rPr>
            </w:pPr>
            <w:r>
              <w:rPr>
                <w:rFonts w:hint="eastAsia" w:ascii="宋体" w:hAnsi="宋体" w:eastAsia="宋体" w:cs="Times New Roman"/>
                <w:kern w:val="0"/>
                <w:sz w:val="20"/>
                <w:szCs w:val="20"/>
              </w:rPr>
              <w:t>执行进度</w:t>
            </w:r>
          </w:p>
        </w:tc>
        <w:tc>
          <w:tcPr>
            <w:tcW w:w="1453" w:type="pct"/>
            <w:tcBorders>
              <w:top w:val="single" w:color="auto" w:sz="4" w:space="0"/>
              <w:left w:val="nil"/>
              <w:bottom w:val="single" w:color="auto" w:sz="4" w:space="0"/>
              <w:right w:val="single" w:color="auto" w:sz="4" w:space="0"/>
            </w:tcBorders>
            <w:shd w:val="clear" w:color="auto" w:fill="auto"/>
            <w:vAlign w:val="center"/>
          </w:tcPr>
          <w:p w14:paraId="2C28033C">
            <w:pPr>
              <w:widowControl/>
              <w:spacing w:line="240" w:lineRule="auto"/>
              <w:ind w:firstLine="0" w:firstLineChars="0"/>
              <w:jc w:val="center"/>
              <w:rPr>
                <w:rFonts w:eastAsia="宋体" w:cs="Times New Roman"/>
                <w:kern w:val="0"/>
                <w:sz w:val="20"/>
                <w:szCs w:val="20"/>
              </w:rPr>
            </w:pPr>
            <w:r>
              <w:rPr>
                <w:rFonts w:hint="eastAsia" w:ascii="宋体" w:hAnsi="宋体" w:eastAsia="宋体" w:cs="Times New Roman"/>
                <w:kern w:val="0"/>
                <w:sz w:val="20"/>
                <w:szCs w:val="20"/>
              </w:rPr>
              <w:t>部门总体执行进度</w:t>
            </w:r>
          </w:p>
        </w:tc>
        <w:tc>
          <w:tcPr>
            <w:tcW w:w="510" w:type="pct"/>
            <w:tcBorders>
              <w:top w:val="single" w:color="auto" w:sz="4" w:space="0"/>
              <w:left w:val="nil"/>
              <w:bottom w:val="single" w:color="auto" w:sz="4" w:space="0"/>
              <w:right w:val="single" w:color="auto" w:sz="4" w:space="0"/>
            </w:tcBorders>
            <w:shd w:val="clear" w:color="auto" w:fill="auto"/>
            <w:vAlign w:val="center"/>
          </w:tcPr>
          <w:p w14:paraId="1610DEAE">
            <w:pPr>
              <w:widowControl/>
              <w:spacing w:line="240" w:lineRule="auto"/>
              <w:ind w:firstLine="0" w:firstLineChars="0"/>
              <w:jc w:val="center"/>
              <w:rPr>
                <w:rFonts w:eastAsia="宋体" w:cs="Times New Roman"/>
                <w:kern w:val="0"/>
                <w:sz w:val="20"/>
                <w:szCs w:val="20"/>
              </w:rPr>
            </w:pPr>
            <w:r>
              <w:rPr>
                <w:rFonts w:eastAsia="宋体" w:cs="Times New Roman"/>
                <w:kern w:val="0"/>
                <w:sz w:val="20"/>
                <w:szCs w:val="20"/>
              </w:rPr>
              <w:t>5.00</w:t>
            </w:r>
          </w:p>
        </w:tc>
        <w:tc>
          <w:tcPr>
            <w:tcW w:w="452" w:type="pct"/>
            <w:tcBorders>
              <w:top w:val="single" w:color="auto" w:sz="4" w:space="0"/>
              <w:left w:val="nil"/>
              <w:bottom w:val="single" w:color="auto" w:sz="4" w:space="0"/>
              <w:right w:val="single" w:color="auto" w:sz="4" w:space="0"/>
            </w:tcBorders>
            <w:shd w:val="clear" w:color="auto" w:fill="auto"/>
            <w:noWrap/>
            <w:vAlign w:val="center"/>
          </w:tcPr>
          <w:p w14:paraId="203B706F">
            <w:pPr>
              <w:widowControl/>
              <w:spacing w:line="240" w:lineRule="auto"/>
              <w:ind w:firstLine="0" w:firstLineChars="0"/>
              <w:jc w:val="center"/>
              <w:rPr>
                <w:rFonts w:eastAsia="宋体" w:cs="Times New Roman"/>
                <w:kern w:val="0"/>
                <w:sz w:val="20"/>
                <w:szCs w:val="20"/>
              </w:rPr>
            </w:pPr>
            <w:r>
              <w:rPr>
                <w:rFonts w:eastAsia="宋体" w:cs="Times New Roman"/>
                <w:kern w:val="0"/>
                <w:sz w:val="20"/>
                <w:szCs w:val="20"/>
              </w:rPr>
              <w:t>5.00</w:t>
            </w:r>
          </w:p>
        </w:tc>
        <w:tc>
          <w:tcPr>
            <w:tcW w:w="624" w:type="pct"/>
            <w:tcBorders>
              <w:top w:val="single" w:color="auto" w:sz="4" w:space="0"/>
              <w:left w:val="nil"/>
              <w:bottom w:val="single" w:color="auto" w:sz="4" w:space="0"/>
              <w:right w:val="single" w:color="auto" w:sz="4" w:space="0"/>
            </w:tcBorders>
            <w:shd w:val="clear" w:color="auto" w:fill="auto"/>
            <w:noWrap/>
            <w:vAlign w:val="center"/>
          </w:tcPr>
          <w:p w14:paraId="23552725">
            <w:pPr>
              <w:widowControl/>
              <w:spacing w:line="240" w:lineRule="auto"/>
              <w:ind w:firstLine="0" w:firstLineChars="0"/>
              <w:jc w:val="right"/>
              <w:rPr>
                <w:rFonts w:eastAsia="宋体" w:cs="Times New Roman"/>
                <w:kern w:val="0"/>
                <w:sz w:val="20"/>
                <w:szCs w:val="20"/>
              </w:rPr>
            </w:pPr>
            <w:r>
              <w:rPr>
                <w:rFonts w:eastAsia="宋体" w:cs="Times New Roman"/>
                <w:kern w:val="0"/>
                <w:sz w:val="20"/>
                <w:szCs w:val="20"/>
              </w:rPr>
              <w:t>100.00%</w:t>
            </w:r>
          </w:p>
        </w:tc>
      </w:tr>
      <w:tr w14:paraId="32738101">
        <w:tblPrEx>
          <w:tblCellMar>
            <w:top w:w="0" w:type="dxa"/>
            <w:left w:w="108" w:type="dxa"/>
            <w:bottom w:w="0" w:type="dxa"/>
            <w:right w:w="108" w:type="dxa"/>
          </w:tblCellMar>
        </w:tblPrEx>
        <w:trPr>
          <w:trHeight w:val="288" w:hRule="atLeast"/>
        </w:trPr>
        <w:tc>
          <w:tcPr>
            <w:tcW w:w="765" w:type="pct"/>
            <w:vMerge w:val="continue"/>
            <w:tcBorders>
              <w:left w:val="single" w:color="auto" w:sz="4" w:space="0"/>
              <w:bottom w:val="single" w:color="auto" w:sz="4" w:space="0"/>
              <w:right w:val="single" w:color="auto" w:sz="4" w:space="0"/>
            </w:tcBorders>
            <w:vAlign w:val="center"/>
          </w:tcPr>
          <w:p w14:paraId="5E37852D">
            <w:pPr>
              <w:widowControl/>
              <w:spacing w:line="240" w:lineRule="auto"/>
              <w:ind w:firstLine="0" w:firstLineChars="0"/>
              <w:jc w:val="left"/>
              <w:rPr>
                <w:rFonts w:eastAsia="宋体" w:cs="Times New Roman"/>
                <w:kern w:val="0"/>
                <w:sz w:val="20"/>
                <w:szCs w:val="20"/>
              </w:rPr>
            </w:pPr>
          </w:p>
        </w:tc>
        <w:tc>
          <w:tcPr>
            <w:tcW w:w="2648" w:type="pct"/>
            <w:gridSpan w:val="2"/>
            <w:tcBorders>
              <w:top w:val="single" w:color="auto" w:sz="4" w:space="0"/>
              <w:left w:val="nil"/>
              <w:bottom w:val="single" w:color="auto" w:sz="4" w:space="0"/>
              <w:right w:val="single" w:color="auto" w:sz="4" w:space="0"/>
            </w:tcBorders>
            <w:shd w:val="clear" w:color="auto" w:fill="auto"/>
            <w:noWrap/>
            <w:vAlign w:val="center"/>
          </w:tcPr>
          <w:p w14:paraId="12FCEAD7">
            <w:pPr>
              <w:widowControl/>
              <w:spacing w:line="240" w:lineRule="auto"/>
              <w:ind w:firstLine="0" w:firstLineChars="0"/>
              <w:jc w:val="center"/>
              <w:rPr>
                <w:rFonts w:ascii="宋体" w:hAnsi="宋体" w:eastAsia="宋体" w:cs="Times New Roman"/>
                <w:kern w:val="0"/>
                <w:sz w:val="20"/>
                <w:szCs w:val="20"/>
              </w:rPr>
            </w:pPr>
            <w:r>
              <w:rPr>
                <w:rFonts w:hint="eastAsia" w:ascii="宋体" w:hAnsi="宋体" w:eastAsia="宋体" w:cs="Times New Roman"/>
                <w:kern w:val="0"/>
                <w:sz w:val="20"/>
                <w:szCs w:val="20"/>
              </w:rPr>
              <w:t>合计</w:t>
            </w:r>
          </w:p>
        </w:tc>
        <w:tc>
          <w:tcPr>
            <w:tcW w:w="510" w:type="pct"/>
            <w:tcBorders>
              <w:top w:val="single" w:color="auto" w:sz="4" w:space="0"/>
              <w:left w:val="nil"/>
              <w:bottom w:val="single" w:color="auto" w:sz="4" w:space="0"/>
              <w:right w:val="single" w:color="auto" w:sz="4" w:space="0"/>
            </w:tcBorders>
            <w:shd w:val="clear" w:color="auto" w:fill="auto"/>
            <w:vAlign w:val="center"/>
          </w:tcPr>
          <w:p w14:paraId="0BC9E545">
            <w:pPr>
              <w:widowControl/>
              <w:spacing w:line="240" w:lineRule="auto"/>
              <w:ind w:firstLine="0" w:firstLineChars="0"/>
              <w:jc w:val="center"/>
              <w:rPr>
                <w:rFonts w:eastAsia="宋体" w:cs="Times New Roman"/>
                <w:kern w:val="0"/>
                <w:sz w:val="20"/>
                <w:szCs w:val="20"/>
              </w:rPr>
            </w:pPr>
            <w:r>
              <w:rPr>
                <w:rFonts w:hint="eastAsia" w:eastAsia="宋体" w:cs="Times New Roman"/>
                <w:kern w:val="0"/>
                <w:sz w:val="20"/>
                <w:szCs w:val="20"/>
              </w:rPr>
              <w:t>1</w:t>
            </w:r>
            <w:r>
              <w:rPr>
                <w:rFonts w:eastAsia="宋体" w:cs="Times New Roman"/>
                <w:kern w:val="0"/>
                <w:sz w:val="20"/>
                <w:szCs w:val="20"/>
              </w:rPr>
              <w:t>0.00</w:t>
            </w:r>
          </w:p>
        </w:tc>
        <w:tc>
          <w:tcPr>
            <w:tcW w:w="452" w:type="pct"/>
            <w:tcBorders>
              <w:top w:val="single" w:color="auto" w:sz="4" w:space="0"/>
              <w:left w:val="nil"/>
              <w:bottom w:val="single" w:color="auto" w:sz="4" w:space="0"/>
              <w:right w:val="single" w:color="auto" w:sz="4" w:space="0"/>
            </w:tcBorders>
            <w:shd w:val="clear" w:color="auto" w:fill="auto"/>
            <w:noWrap/>
            <w:vAlign w:val="center"/>
          </w:tcPr>
          <w:p w14:paraId="5B6D2D28">
            <w:pPr>
              <w:widowControl/>
              <w:spacing w:line="240" w:lineRule="auto"/>
              <w:ind w:firstLine="0" w:firstLineChars="0"/>
              <w:jc w:val="center"/>
              <w:rPr>
                <w:rFonts w:eastAsia="宋体" w:cs="Times New Roman"/>
                <w:kern w:val="0"/>
                <w:sz w:val="20"/>
                <w:szCs w:val="20"/>
              </w:rPr>
            </w:pPr>
            <w:r>
              <w:rPr>
                <w:rFonts w:hint="eastAsia" w:eastAsia="宋体" w:cs="Times New Roman"/>
                <w:kern w:val="0"/>
                <w:sz w:val="20"/>
                <w:szCs w:val="20"/>
              </w:rPr>
              <w:t>9</w:t>
            </w:r>
            <w:r>
              <w:rPr>
                <w:rFonts w:eastAsia="宋体" w:cs="Times New Roman"/>
                <w:kern w:val="0"/>
                <w:sz w:val="20"/>
                <w:szCs w:val="20"/>
              </w:rPr>
              <w:t>.95</w:t>
            </w:r>
          </w:p>
        </w:tc>
        <w:tc>
          <w:tcPr>
            <w:tcW w:w="624" w:type="pct"/>
            <w:tcBorders>
              <w:top w:val="single" w:color="auto" w:sz="4" w:space="0"/>
              <w:left w:val="nil"/>
              <w:bottom w:val="single" w:color="auto" w:sz="4" w:space="0"/>
              <w:right w:val="single" w:color="auto" w:sz="4" w:space="0"/>
            </w:tcBorders>
            <w:shd w:val="clear" w:color="auto" w:fill="auto"/>
            <w:noWrap/>
            <w:vAlign w:val="center"/>
          </w:tcPr>
          <w:p w14:paraId="066A2E01">
            <w:pPr>
              <w:widowControl/>
              <w:spacing w:line="240" w:lineRule="auto"/>
              <w:ind w:firstLine="0" w:firstLineChars="0"/>
              <w:jc w:val="right"/>
              <w:rPr>
                <w:rFonts w:eastAsia="宋体" w:cs="Times New Roman"/>
                <w:kern w:val="0"/>
                <w:sz w:val="20"/>
                <w:szCs w:val="20"/>
              </w:rPr>
            </w:pPr>
            <w:r>
              <w:rPr>
                <w:rFonts w:eastAsia="宋体" w:cs="Times New Roman"/>
                <w:kern w:val="0"/>
                <w:sz w:val="20"/>
                <w:szCs w:val="20"/>
              </w:rPr>
              <w:t>99.50</w:t>
            </w:r>
            <w:r>
              <w:rPr>
                <w:rFonts w:hint="eastAsia" w:eastAsia="宋体" w:cs="Times New Roman"/>
                <w:kern w:val="0"/>
                <w:sz w:val="20"/>
                <w:szCs w:val="20"/>
              </w:rPr>
              <w:t>%</w:t>
            </w:r>
          </w:p>
        </w:tc>
      </w:tr>
    </w:tbl>
    <w:p w14:paraId="1428D663">
      <w:pPr>
        <w:ind w:firstLine="560"/>
      </w:pPr>
    </w:p>
    <w:p w14:paraId="7DB55154">
      <w:pPr>
        <w:pStyle w:val="3"/>
        <w:spacing w:line="600" w:lineRule="exact"/>
        <w:ind w:firstLine="643" w:firstLineChars="200"/>
        <w:jc w:val="both"/>
        <w:rPr>
          <w:rFonts w:eastAsia="楷体_GB2312" w:cs="Times New Roman"/>
          <w:sz w:val="32"/>
        </w:rPr>
      </w:pPr>
      <w:bookmarkStart w:id="18" w:name="_Toc77784240"/>
      <w:r>
        <w:rPr>
          <w:rFonts w:hint="eastAsia" w:eastAsia="楷体_GB2312" w:cs="Times New Roman"/>
          <w:sz w:val="32"/>
        </w:rPr>
        <w:t>（一）预算编制情况</w:t>
      </w:r>
      <w:bookmarkEnd w:id="18"/>
    </w:p>
    <w:p w14:paraId="2FFDFAA7">
      <w:pPr>
        <w:ind w:firstLine="640"/>
        <w:rPr>
          <w:rFonts w:eastAsia="仿宋_GB2312" w:cs="Times New Roman"/>
          <w:sz w:val="32"/>
          <w:szCs w:val="24"/>
          <w:lang w:val="zh-CN"/>
        </w:rPr>
      </w:pPr>
      <w:r>
        <w:rPr>
          <w:rFonts w:hint="eastAsia" w:eastAsia="仿宋_GB2312" w:cs="Times New Roman"/>
          <w:sz w:val="32"/>
          <w:szCs w:val="24"/>
          <w:lang w:val="zh-CN"/>
        </w:rPr>
        <w:t>预算编制下设预算安排准确性单个指标，权重5.00分，实际得分4.</w:t>
      </w:r>
      <w:r>
        <w:rPr>
          <w:rFonts w:eastAsia="仿宋_GB2312" w:cs="Times New Roman"/>
          <w:sz w:val="32"/>
          <w:szCs w:val="24"/>
          <w:lang w:val="zh-CN"/>
        </w:rPr>
        <w:t>95</w:t>
      </w:r>
      <w:r>
        <w:rPr>
          <w:rFonts w:hint="eastAsia" w:eastAsia="仿宋_GB2312" w:cs="Times New Roman"/>
          <w:sz w:val="32"/>
          <w:szCs w:val="24"/>
          <w:lang w:val="zh-CN"/>
        </w:rPr>
        <w:t>分，得分率9</w:t>
      </w:r>
      <w:r>
        <w:rPr>
          <w:rFonts w:eastAsia="仿宋_GB2312" w:cs="Times New Roman"/>
          <w:sz w:val="32"/>
          <w:szCs w:val="24"/>
          <w:lang w:val="zh-CN"/>
        </w:rPr>
        <w:t>8.94</w:t>
      </w:r>
      <w:r>
        <w:rPr>
          <w:rFonts w:hint="eastAsia" w:eastAsia="仿宋_GB2312" w:cs="Times New Roman"/>
          <w:sz w:val="32"/>
          <w:szCs w:val="24"/>
          <w:lang w:val="zh-CN"/>
        </w:rPr>
        <w:t>%。根据计算方式，预算安排准确性达9</w:t>
      </w:r>
      <w:r>
        <w:rPr>
          <w:rFonts w:eastAsia="仿宋_GB2312" w:cs="Times New Roman"/>
          <w:sz w:val="32"/>
          <w:szCs w:val="24"/>
          <w:lang w:val="zh-CN"/>
        </w:rPr>
        <w:t>8.94</w:t>
      </w:r>
      <w:r>
        <w:rPr>
          <w:rFonts w:hint="eastAsia" w:eastAsia="仿宋_GB2312" w:cs="Times New Roman"/>
          <w:sz w:val="32"/>
          <w:szCs w:val="24"/>
          <w:lang w:val="zh-CN"/>
        </w:rPr>
        <w:t>%。【（预算资金总来源</w:t>
      </w:r>
      <w:r>
        <w:rPr>
          <w:rFonts w:eastAsia="仿宋_GB2312" w:cs="Times New Roman"/>
          <w:sz w:val="32"/>
          <w:szCs w:val="24"/>
          <w:lang w:val="zh-CN"/>
        </w:rPr>
        <w:t>65235.71</w:t>
      </w:r>
      <w:r>
        <w:rPr>
          <w:rFonts w:hint="eastAsia" w:eastAsia="仿宋_GB2312" w:cs="Times New Roman"/>
          <w:sz w:val="32"/>
          <w:szCs w:val="24"/>
          <w:lang w:val="zh-CN"/>
        </w:rPr>
        <w:t>万元-中期调整取消自然资源海洋气象等支出6</w:t>
      </w:r>
      <w:r>
        <w:rPr>
          <w:rFonts w:eastAsia="仿宋_GB2312" w:cs="Times New Roman"/>
          <w:sz w:val="32"/>
          <w:szCs w:val="24"/>
          <w:lang w:val="zh-CN"/>
        </w:rPr>
        <w:t>93.22</w:t>
      </w:r>
      <w:r>
        <w:rPr>
          <w:rFonts w:hint="eastAsia" w:eastAsia="仿宋_GB2312" w:cs="Times New Roman"/>
          <w:sz w:val="32"/>
          <w:szCs w:val="24"/>
          <w:lang w:val="zh-CN"/>
        </w:rPr>
        <w:t>万元-预算结余注销资金0万元）/预算资金总来源</w:t>
      </w:r>
      <w:r>
        <w:rPr>
          <w:rFonts w:eastAsia="仿宋_GB2312" w:cs="Times New Roman"/>
          <w:sz w:val="32"/>
          <w:szCs w:val="24"/>
          <w:lang w:val="zh-CN"/>
        </w:rPr>
        <w:t>65235.71</w:t>
      </w:r>
      <w:r>
        <w:rPr>
          <w:rFonts w:hint="eastAsia" w:eastAsia="仿宋_GB2312" w:cs="Times New Roman"/>
          <w:sz w:val="32"/>
          <w:szCs w:val="24"/>
          <w:lang w:val="zh-CN"/>
        </w:rPr>
        <w:t>万元*</w:t>
      </w:r>
      <w:r>
        <w:rPr>
          <w:rFonts w:eastAsia="仿宋_GB2312" w:cs="Times New Roman"/>
          <w:sz w:val="32"/>
          <w:szCs w:val="24"/>
          <w:lang w:val="zh-CN"/>
        </w:rPr>
        <w:t>5</w:t>
      </w:r>
      <w:r>
        <w:rPr>
          <w:rFonts w:hint="eastAsia" w:eastAsia="仿宋_GB2312" w:cs="Times New Roman"/>
          <w:sz w:val="32"/>
          <w:szCs w:val="24"/>
          <w:lang w:val="zh-CN"/>
        </w:rPr>
        <w:t>分】，故扣0.</w:t>
      </w:r>
      <w:r>
        <w:rPr>
          <w:rFonts w:eastAsia="仿宋_GB2312" w:cs="Times New Roman"/>
          <w:sz w:val="32"/>
          <w:szCs w:val="24"/>
          <w:lang w:val="zh-CN"/>
        </w:rPr>
        <w:t>05</w:t>
      </w:r>
      <w:r>
        <w:rPr>
          <w:rFonts w:hint="eastAsia" w:eastAsia="仿宋_GB2312" w:cs="Times New Roman"/>
          <w:sz w:val="32"/>
          <w:szCs w:val="24"/>
          <w:lang w:val="zh-CN"/>
        </w:rPr>
        <w:t>分。</w:t>
      </w:r>
    </w:p>
    <w:p w14:paraId="3D85AB50">
      <w:pPr>
        <w:ind w:firstLine="640"/>
        <w:rPr>
          <w:rFonts w:eastAsia="仿宋_GB2312" w:cs="Times New Roman"/>
          <w:sz w:val="32"/>
          <w:szCs w:val="24"/>
          <w:lang w:val="zh-CN"/>
        </w:rPr>
      </w:pPr>
      <w:bookmarkStart w:id="19" w:name="_Toc77784241"/>
      <w:r>
        <w:rPr>
          <w:rFonts w:hint="eastAsia" w:eastAsia="仿宋_GB2312" w:cs="Times New Roman"/>
          <w:sz w:val="32"/>
          <w:szCs w:val="24"/>
          <w:lang w:val="zh-CN"/>
        </w:rPr>
        <w:t>1</w:t>
      </w:r>
      <w:r>
        <w:rPr>
          <w:rFonts w:eastAsia="仿宋_GB2312" w:cs="Times New Roman"/>
          <w:sz w:val="32"/>
          <w:szCs w:val="24"/>
          <w:lang w:val="zh-CN"/>
        </w:rPr>
        <w:t>.</w:t>
      </w:r>
      <w:r>
        <w:rPr>
          <w:rFonts w:hint="eastAsia" w:eastAsia="仿宋_GB2312" w:cs="Times New Roman"/>
          <w:sz w:val="32"/>
          <w:szCs w:val="24"/>
          <w:lang w:val="zh-CN"/>
        </w:rPr>
        <w:t>预算收入情况</w:t>
      </w:r>
      <w:bookmarkEnd w:id="19"/>
    </w:p>
    <w:p w14:paraId="4C0A0350">
      <w:pPr>
        <w:ind w:firstLine="640"/>
        <w:rPr>
          <w:rFonts w:eastAsia="仿宋_GB2312" w:cs="Times New Roman"/>
          <w:sz w:val="32"/>
          <w:szCs w:val="24"/>
          <w:lang w:val="zh-CN"/>
        </w:rPr>
      </w:pPr>
      <w:r>
        <w:rPr>
          <w:rFonts w:hint="eastAsia" w:eastAsia="仿宋_GB2312" w:cs="Times New Roman"/>
          <w:sz w:val="32"/>
          <w:szCs w:val="24"/>
          <w:lang w:val="zh-CN"/>
        </w:rPr>
        <w:t>2</w:t>
      </w:r>
      <w:r>
        <w:rPr>
          <w:rFonts w:eastAsia="仿宋_GB2312" w:cs="Times New Roman"/>
          <w:sz w:val="32"/>
          <w:szCs w:val="24"/>
          <w:lang w:val="zh-CN"/>
        </w:rPr>
        <w:t>020</w:t>
      </w:r>
      <w:r>
        <w:rPr>
          <w:rFonts w:hint="eastAsia" w:eastAsia="仿宋_GB2312" w:cs="Times New Roman"/>
          <w:sz w:val="32"/>
          <w:szCs w:val="24"/>
          <w:lang w:val="zh-CN"/>
        </w:rPr>
        <w:t>年绵竹市自然资源和规划局年初收入预算数5</w:t>
      </w:r>
      <w:r>
        <w:rPr>
          <w:rFonts w:eastAsia="仿宋_GB2312" w:cs="Times New Roman"/>
          <w:sz w:val="32"/>
          <w:szCs w:val="24"/>
          <w:lang w:val="zh-CN"/>
        </w:rPr>
        <w:t>8236.97</w:t>
      </w:r>
      <w:r>
        <w:rPr>
          <w:rFonts w:hint="eastAsia" w:eastAsia="仿宋_GB2312" w:cs="Times New Roman"/>
          <w:sz w:val="32"/>
          <w:szCs w:val="24"/>
          <w:lang w:val="zh-CN"/>
        </w:rPr>
        <w:t>万元，调整预算数</w:t>
      </w:r>
      <w:r>
        <w:rPr>
          <w:rFonts w:eastAsia="仿宋_GB2312" w:cs="Times New Roman"/>
          <w:sz w:val="32"/>
          <w:szCs w:val="24"/>
          <w:lang w:val="zh-CN"/>
        </w:rPr>
        <w:t>65235.71</w:t>
      </w:r>
      <w:r>
        <w:rPr>
          <w:rFonts w:hint="eastAsia" w:eastAsia="仿宋_GB2312" w:cs="Times New Roman"/>
          <w:sz w:val="32"/>
          <w:szCs w:val="24"/>
          <w:lang w:val="zh-CN"/>
        </w:rPr>
        <w:t>万元；预算追加数6</w:t>
      </w:r>
      <w:r>
        <w:rPr>
          <w:rFonts w:eastAsia="仿宋_GB2312" w:cs="Times New Roman"/>
          <w:sz w:val="32"/>
          <w:szCs w:val="24"/>
          <w:lang w:val="zh-CN"/>
        </w:rPr>
        <w:t>998.74</w:t>
      </w:r>
      <w:r>
        <w:rPr>
          <w:rFonts w:hint="eastAsia" w:eastAsia="仿宋_GB2312" w:cs="Times New Roman"/>
          <w:sz w:val="32"/>
          <w:szCs w:val="24"/>
          <w:lang w:val="zh-CN"/>
        </w:rPr>
        <w:t>万元，占年初预算数比1</w:t>
      </w:r>
      <w:r>
        <w:rPr>
          <w:rFonts w:eastAsia="仿宋_GB2312" w:cs="Times New Roman"/>
          <w:sz w:val="32"/>
          <w:szCs w:val="24"/>
          <w:lang w:val="zh-CN"/>
        </w:rPr>
        <w:t>2.02</w:t>
      </w:r>
      <w:r>
        <w:rPr>
          <w:rFonts w:hint="eastAsia" w:eastAsia="仿宋_GB2312" w:cs="Times New Roman"/>
          <w:sz w:val="32"/>
          <w:szCs w:val="24"/>
          <w:lang w:val="zh-CN"/>
        </w:rPr>
        <w:t>%。</w:t>
      </w:r>
    </w:p>
    <w:p w14:paraId="372DF971">
      <w:pPr>
        <w:ind w:firstLine="0" w:firstLineChars="0"/>
        <w:jc w:val="center"/>
        <w:rPr>
          <w:rFonts w:eastAsia="仿宋_GB2312" w:cs="Times New Roman"/>
          <w:sz w:val="32"/>
          <w:szCs w:val="24"/>
        </w:rPr>
      </w:pPr>
      <w:r>
        <w:rPr>
          <w:rFonts w:eastAsia="幼圆" w:cs="Times New Roman"/>
          <w:b/>
          <w:szCs w:val="32"/>
        </w:rPr>
        <w:t>附表 2020</w:t>
      </w:r>
      <w:r>
        <w:rPr>
          <w:rFonts w:hint="eastAsia" w:eastAsia="幼圆" w:cs="Times New Roman"/>
          <w:b/>
          <w:szCs w:val="32"/>
        </w:rPr>
        <w:t>年绵竹市自然资源和规划局项目</w:t>
      </w:r>
      <w:r>
        <w:rPr>
          <w:rFonts w:eastAsia="幼圆" w:cs="Times New Roman"/>
          <w:b/>
          <w:szCs w:val="32"/>
        </w:rPr>
        <w:t>类别收入情况</w:t>
      </w:r>
    </w:p>
    <w:tbl>
      <w:tblPr>
        <w:tblStyle w:val="22"/>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0"/>
        <w:gridCol w:w="1418"/>
        <w:gridCol w:w="1417"/>
        <w:gridCol w:w="1413"/>
        <w:gridCol w:w="1218"/>
      </w:tblGrid>
      <w:tr w14:paraId="1B65D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blHeader/>
          <w:jc w:val="center"/>
        </w:trPr>
        <w:tc>
          <w:tcPr>
            <w:tcW w:w="2830" w:type="dxa"/>
            <w:shd w:val="clear" w:color="auto" w:fill="00516B"/>
            <w:noWrap/>
            <w:vAlign w:val="center"/>
          </w:tcPr>
          <w:p w14:paraId="79C734AC">
            <w:pPr>
              <w:spacing w:line="240" w:lineRule="auto"/>
              <w:ind w:firstLine="0" w:firstLineChars="0"/>
              <w:jc w:val="center"/>
              <w:rPr>
                <w:rFonts w:eastAsia="宋体" w:cs="Times New Roman"/>
                <w:b/>
                <w:bCs/>
                <w:sz w:val="20"/>
                <w:szCs w:val="20"/>
              </w:rPr>
            </w:pPr>
            <w:r>
              <w:rPr>
                <w:rFonts w:eastAsia="宋体" w:cs="Times New Roman"/>
                <w:b/>
                <w:bCs/>
                <w:sz w:val="20"/>
                <w:szCs w:val="20"/>
              </w:rPr>
              <w:t>支出项目（按功能分类）</w:t>
            </w:r>
          </w:p>
        </w:tc>
        <w:tc>
          <w:tcPr>
            <w:tcW w:w="1418" w:type="dxa"/>
            <w:shd w:val="clear" w:color="auto" w:fill="00516B"/>
            <w:noWrap/>
            <w:vAlign w:val="center"/>
          </w:tcPr>
          <w:p w14:paraId="6A3C9568">
            <w:pPr>
              <w:spacing w:line="240" w:lineRule="auto"/>
              <w:ind w:firstLine="0" w:firstLineChars="0"/>
              <w:jc w:val="center"/>
              <w:rPr>
                <w:rFonts w:eastAsia="宋体" w:cs="Times New Roman"/>
                <w:b/>
                <w:bCs/>
                <w:sz w:val="20"/>
                <w:szCs w:val="20"/>
              </w:rPr>
            </w:pPr>
            <w:r>
              <w:rPr>
                <w:rFonts w:eastAsia="宋体" w:cs="Times New Roman"/>
                <w:b/>
                <w:bCs/>
                <w:sz w:val="20"/>
                <w:szCs w:val="20"/>
              </w:rPr>
              <w:t>年初预算数（万元）</w:t>
            </w:r>
          </w:p>
        </w:tc>
        <w:tc>
          <w:tcPr>
            <w:tcW w:w="1417" w:type="dxa"/>
            <w:shd w:val="clear" w:color="auto" w:fill="00516B"/>
            <w:noWrap/>
            <w:vAlign w:val="center"/>
          </w:tcPr>
          <w:p w14:paraId="313C986A">
            <w:pPr>
              <w:spacing w:line="240" w:lineRule="auto"/>
              <w:ind w:firstLine="0" w:firstLineChars="0"/>
              <w:jc w:val="center"/>
              <w:rPr>
                <w:rFonts w:eastAsia="宋体" w:cs="Times New Roman"/>
                <w:b/>
                <w:bCs/>
                <w:sz w:val="20"/>
                <w:szCs w:val="20"/>
              </w:rPr>
            </w:pPr>
            <w:r>
              <w:rPr>
                <w:rFonts w:eastAsia="宋体" w:cs="Times New Roman"/>
                <w:b/>
                <w:bCs/>
                <w:sz w:val="20"/>
                <w:szCs w:val="20"/>
              </w:rPr>
              <w:t>调整预算数（万元）</w:t>
            </w:r>
          </w:p>
        </w:tc>
        <w:tc>
          <w:tcPr>
            <w:tcW w:w="1413" w:type="dxa"/>
            <w:shd w:val="clear" w:color="auto" w:fill="00516B"/>
            <w:vAlign w:val="center"/>
          </w:tcPr>
          <w:p w14:paraId="7CAFE7FB">
            <w:pPr>
              <w:spacing w:line="240" w:lineRule="auto"/>
              <w:ind w:firstLine="0" w:firstLineChars="0"/>
              <w:jc w:val="center"/>
              <w:rPr>
                <w:rFonts w:eastAsia="宋体" w:cs="Times New Roman"/>
                <w:b/>
                <w:bCs/>
                <w:sz w:val="20"/>
                <w:szCs w:val="20"/>
              </w:rPr>
            </w:pPr>
            <w:r>
              <w:rPr>
                <w:rFonts w:eastAsia="宋体" w:cs="Times New Roman"/>
                <w:b/>
                <w:bCs/>
                <w:sz w:val="20"/>
                <w:szCs w:val="20"/>
              </w:rPr>
              <w:t>预算追加数（万元）</w:t>
            </w:r>
          </w:p>
        </w:tc>
        <w:tc>
          <w:tcPr>
            <w:tcW w:w="1218" w:type="dxa"/>
            <w:shd w:val="clear" w:color="auto" w:fill="00516B"/>
            <w:vAlign w:val="center"/>
          </w:tcPr>
          <w:p w14:paraId="03638159">
            <w:pPr>
              <w:spacing w:line="240" w:lineRule="auto"/>
              <w:ind w:firstLine="0" w:firstLineChars="0"/>
              <w:jc w:val="center"/>
              <w:rPr>
                <w:rFonts w:eastAsia="宋体" w:cs="Times New Roman"/>
                <w:b/>
                <w:bCs/>
                <w:sz w:val="20"/>
                <w:szCs w:val="20"/>
              </w:rPr>
            </w:pPr>
            <w:r>
              <w:rPr>
                <w:rFonts w:eastAsia="宋体" w:cs="Times New Roman"/>
                <w:b/>
                <w:bCs/>
                <w:sz w:val="20"/>
                <w:szCs w:val="20"/>
              </w:rPr>
              <w:t>追加数占年初比例</w:t>
            </w:r>
          </w:p>
        </w:tc>
      </w:tr>
      <w:tr w14:paraId="2C90F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2830" w:type="dxa"/>
            <w:shd w:val="clear" w:color="auto" w:fill="auto"/>
            <w:noWrap/>
            <w:vAlign w:val="center"/>
          </w:tcPr>
          <w:p w14:paraId="2DB0B7C1">
            <w:pPr>
              <w:spacing w:line="240" w:lineRule="auto"/>
              <w:ind w:firstLine="0" w:firstLineChars="0"/>
              <w:jc w:val="center"/>
              <w:rPr>
                <w:rFonts w:eastAsia="宋体" w:cs="Times New Roman"/>
                <w:sz w:val="20"/>
                <w:szCs w:val="20"/>
              </w:rPr>
            </w:pPr>
            <w:r>
              <w:rPr>
                <w:rFonts w:eastAsia="宋体" w:cs="Times New Roman"/>
                <w:sz w:val="20"/>
                <w:szCs w:val="20"/>
              </w:rPr>
              <w:t>文化旅游体育与传媒支出</w:t>
            </w:r>
          </w:p>
        </w:tc>
        <w:tc>
          <w:tcPr>
            <w:tcW w:w="1418" w:type="dxa"/>
            <w:shd w:val="clear" w:color="auto" w:fill="auto"/>
            <w:noWrap/>
            <w:vAlign w:val="center"/>
          </w:tcPr>
          <w:p w14:paraId="6F86345D">
            <w:pPr>
              <w:spacing w:line="240" w:lineRule="auto"/>
              <w:ind w:firstLine="0" w:firstLineChars="0"/>
              <w:jc w:val="center"/>
              <w:rPr>
                <w:rFonts w:eastAsia="宋体" w:cs="Times New Roman"/>
                <w:sz w:val="20"/>
                <w:szCs w:val="20"/>
              </w:rPr>
            </w:pPr>
            <w:r>
              <w:rPr>
                <w:rFonts w:eastAsia="宋体" w:cs="Times New Roman"/>
                <w:sz w:val="20"/>
                <w:szCs w:val="20"/>
              </w:rPr>
              <w:t>3000.00</w:t>
            </w:r>
          </w:p>
        </w:tc>
        <w:tc>
          <w:tcPr>
            <w:tcW w:w="1417" w:type="dxa"/>
            <w:shd w:val="clear" w:color="auto" w:fill="auto"/>
            <w:noWrap/>
            <w:vAlign w:val="center"/>
          </w:tcPr>
          <w:p w14:paraId="0A93B80B">
            <w:pPr>
              <w:spacing w:line="240" w:lineRule="auto"/>
              <w:ind w:firstLine="0" w:firstLineChars="0"/>
              <w:jc w:val="center"/>
              <w:rPr>
                <w:rFonts w:eastAsia="宋体" w:cs="Times New Roman"/>
                <w:sz w:val="20"/>
                <w:szCs w:val="20"/>
              </w:rPr>
            </w:pPr>
            <w:r>
              <w:rPr>
                <w:rFonts w:eastAsia="宋体" w:cs="Times New Roman"/>
                <w:sz w:val="20"/>
                <w:szCs w:val="20"/>
              </w:rPr>
              <w:t>3000.00</w:t>
            </w:r>
          </w:p>
        </w:tc>
        <w:tc>
          <w:tcPr>
            <w:tcW w:w="1413" w:type="dxa"/>
            <w:vAlign w:val="center"/>
          </w:tcPr>
          <w:p w14:paraId="600832F8">
            <w:pPr>
              <w:spacing w:line="240" w:lineRule="auto"/>
              <w:ind w:firstLine="0" w:firstLineChars="0"/>
              <w:jc w:val="center"/>
              <w:rPr>
                <w:rFonts w:eastAsia="宋体" w:cs="Times New Roman"/>
                <w:sz w:val="20"/>
                <w:szCs w:val="20"/>
              </w:rPr>
            </w:pPr>
            <w:r>
              <w:rPr>
                <w:rFonts w:eastAsia="宋体" w:cs="Times New Roman"/>
                <w:sz w:val="20"/>
                <w:szCs w:val="20"/>
              </w:rPr>
              <w:t>0.00</w:t>
            </w:r>
          </w:p>
        </w:tc>
        <w:tc>
          <w:tcPr>
            <w:tcW w:w="1218" w:type="dxa"/>
            <w:vAlign w:val="center"/>
          </w:tcPr>
          <w:p w14:paraId="35983E0B">
            <w:pPr>
              <w:spacing w:line="240" w:lineRule="auto"/>
              <w:ind w:firstLine="0" w:firstLineChars="0"/>
              <w:jc w:val="center"/>
              <w:rPr>
                <w:rFonts w:eastAsia="宋体" w:cs="Times New Roman"/>
                <w:sz w:val="20"/>
                <w:szCs w:val="20"/>
              </w:rPr>
            </w:pPr>
            <w:r>
              <w:rPr>
                <w:rFonts w:eastAsia="宋体" w:cs="Times New Roman"/>
                <w:sz w:val="20"/>
                <w:szCs w:val="20"/>
              </w:rPr>
              <w:t>0</w:t>
            </w:r>
            <w:r>
              <w:rPr>
                <w:rFonts w:hint="eastAsia" w:eastAsia="宋体" w:cs="Times New Roman"/>
                <w:sz w:val="20"/>
                <w:szCs w:val="20"/>
              </w:rPr>
              <w:t>.</w:t>
            </w:r>
            <w:r>
              <w:rPr>
                <w:rFonts w:eastAsia="宋体" w:cs="Times New Roman"/>
                <w:sz w:val="20"/>
                <w:szCs w:val="20"/>
              </w:rPr>
              <w:t>00%</w:t>
            </w:r>
          </w:p>
        </w:tc>
      </w:tr>
      <w:tr w14:paraId="7E42E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2830" w:type="dxa"/>
            <w:shd w:val="clear" w:color="auto" w:fill="auto"/>
            <w:noWrap/>
            <w:vAlign w:val="center"/>
          </w:tcPr>
          <w:p w14:paraId="51ADFF05">
            <w:pPr>
              <w:spacing w:line="240" w:lineRule="auto"/>
              <w:ind w:firstLine="0" w:firstLineChars="0"/>
              <w:jc w:val="center"/>
              <w:rPr>
                <w:rFonts w:eastAsia="宋体" w:cs="Times New Roman"/>
                <w:sz w:val="20"/>
                <w:szCs w:val="20"/>
              </w:rPr>
            </w:pPr>
            <w:r>
              <w:rPr>
                <w:rFonts w:eastAsia="宋体" w:cs="Times New Roman"/>
                <w:sz w:val="20"/>
                <w:szCs w:val="20"/>
              </w:rPr>
              <w:t>社会保障和就业支出</w:t>
            </w:r>
          </w:p>
        </w:tc>
        <w:tc>
          <w:tcPr>
            <w:tcW w:w="1418" w:type="dxa"/>
            <w:shd w:val="clear" w:color="auto" w:fill="auto"/>
            <w:noWrap/>
            <w:vAlign w:val="center"/>
          </w:tcPr>
          <w:p w14:paraId="1B1D34DE">
            <w:pPr>
              <w:spacing w:line="240" w:lineRule="auto"/>
              <w:ind w:firstLine="0" w:firstLineChars="0"/>
              <w:jc w:val="center"/>
              <w:rPr>
                <w:rFonts w:eastAsia="宋体" w:cs="Times New Roman"/>
                <w:sz w:val="20"/>
                <w:szCs w:val="20"/>
              </w:rPr>
            </w:pPr>
            <w:r>
              <w:rPr>
                <w:rFonts w:eastAsia="宋体" w:cs="Times New Roman"/>
                <w:sz w:val="20"/>
                <w:szCs w:val="20"/>
              </w:rPr>
              <w:t>229.55</w:t>
            </w:r>
          </w:p>
        </w:tc>
        <w:tc>
          <w:tcPr>
            <w:tcW w:w="1417" w:type="dxa"/>
            <w:shd w:val="clear" w:color="auto" w:fill="auto"/>
            <w:noWrap/>
            <w:vAlign w:val="center"/>
          </w:tcPr>
          <w:p w14:paraId="4A81D827">
            <w:pPr>
              <w:spacing w:line="240" w:lineRule="auto"/>
              <w:ind w:firstLine="0" w:firstLineChars="0"/>
              <w:jc w:val="center"/>
              <w:rPr>
                <w:rFonts w:eastAsia="宋体" w:cs="Times New Roman"/>
                <w:sz w:val="20"/>
                <w:szCs w:val="20"/>
              </w:rPr>
            </w:pPr>
            <w:r>
              <w:rPr>
                <w:rFonts w:eastAsia="宋体" w:cs="Times New Roman"/>
                <w:sz w:val="20"/>
                <w:szCs w:val="20"/>
              </w:rPr>
              <w:t>6493.38</w:t>
            </w:r>
          </w:p>
        </w:tc>
        <w:tc>
          <w:tcPr>
            <w:tcW w:w="1413" w:type="dxa"/>
            <w:vAlign w:val="center"/>
          </w:tcPr>
          <w:p w14:paraId="724E3026">
            <w:pPr>
              <w:spacing w:line="240" w:lineRule="auto"/>
              <w:ind w:firstLine="0" w:firstLineChars="0"/>
              <w:jc w:val="center"/>
              <w:rPr>
                <w:rFonts w:eastAsia="宋体" w:cs="Times New Roman"/>
                <w:sz w:val="20"/>
                <w:szCs w:val="20"/>
              </w:rPr>
            </w:pPr>
            <w:r>
              <w:rPr>
                <w:rFonts w:eastAsia="宋体" w:cs="Times New Roman"/>
                <w:sz w:val="20"/>
                <w:szCs w:val="20"/>
              </w:rPr>
              <w:t>6263.83</w:t>
            </w:r>
          </w:p>
        </w:tc>
        <w:tc>
          <w:tcPr>
            <w:tcW w:w="1218" w:type="dxa"/>
            <w:vAlign w:val="center"/>
          </w:tcPr>
          <w:p w14:paraId="3C9A15CB">
            <w:pPr>
              <w:spacing w:line="240" w:lineRule="auto"/>
              <w:ind w:firstLine="0" w:firstLineChars="0"/>
              <w:jc w:val="center"/>
              <w:rPr>
                <w:rFonts w:eastAsia="宋体" w:cs="Times New Roman"/>
                <w:sz w:val="20"/>
                <w:szCs w:val="20"/>
              </w:rPr>
            </w:pPr>
            <w:r>
              <w:rPr>
                <w:rFonts w:eastAsia="宋体" w:cs="Times New Roman"/>
                <w:sz w:val="20"/>
                <w:szCs w:val="20"/>
              </w:rPr>
              <w:t>2728.74%</w:t>
            </w:r>
          </w:p>
        </w:tc>
      </w:tr>
      <w:tr w14:paraId="54E6F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2830" w:type="dxa"/>
            <w:shd w:val="clear" w:color="auto" w:fill="auto"/>
            <w:noWrap/>
            <w:vAlign w:val="center"/>
          </w:tcPr>
          <w:p w14:paraId="689D4E44">
            <w:pPr>
              <w:spacing w:line="240" w:lineRule="auto"/>
              <w:ind w:firstLine="0" w:firstLineChars="0"/>
              <w:jc w:val="center"/>
              <w:rPr>
                <w:rFonts w:eastAsia="宋体" w:cs="Times New Roman"/>
                <w:sz w:val="20"/>
                <w:szCs w:val="20"/>
              </w:rPr>
            </w:pPr>
            <w:r>
              <w:rPr>
                <w:rFonts w:eastAsia="宋体" w:cs="Times New Roman"/>
                <w:sz w:val="20"/>
                <w:szCs w:val="20"/>
              </w:rPr>
              <w:t>卫生健康支出</w:t>
            </w:r>
          </w:p>
        </w:tc>
        <w:tc>
          <w:tcPr>
            <w:tcW w:w="1418" w:type="dxa"/>
            <w:shd w:val="clear" w:color="auto" w:fill="auto"/>
            <w:noWrap/>
            <w:vAlign w:val="center"/>
          </w:tcPr>
          <w:p w14:paraId="75D064BC">
            <w:pPr>
              <w:spacing w:line="240" w:lineRule="auto"/>
              <w:ind w:firstLine="0" w:firstLineChars="0"/>
              <w:jc w:val="center"/>
              <w:rPr>
                <w:rFonts w:eastAsia="宋体" w:cs="Times New Roman"/>
                <w:sz w:val="20"/>
                <w:szCs w:val="20"/>
              </w:rPr>
            </w:pPr>
            <w:r>
              <w:rPr>
                <w:rFonts w:eastAsia="宋体" w:cs="Times New Roman"/>
                <w:sz w:val="20"/>
                <w:szCs w:val="20"/>
              </w:rPr>
              <w:t>60.73</w:t>
            </w:r>
          </w:p>
        </w:tc>
        <w:tc>
          <w:tcPr>
            <w:tcW w:w="1417" w:type="dxa"/>
            <w:shd w:val="clear" w:color="auto" w:fill="auto"/>
            <w:noWrap/>
            <w:vAlign w:val="center"/>
          </w:tcPr>
          <w:p w14:paraId="56B57EED">
            <w:pPr>
              <w:spacing w:line="240" w:lineRule="auto"/>
              <w:ind w:firstLine="0" w:firstLineChars="0"/>
              <w:jc w:val="center"/>
              <w:rPr>
                <w:rFonts w:eastAsia="宋体" w:cs="Times New Roman"/>
                <w:sz w:val="20"/>
                <w:szCs w:val="20"/>
              </w:rPr>
            </w:pPr>
            <w:r>
              <w:rPr>
                <w:rFonts w:eastAsia="宋体" w:cs="Times New Roman"/>
                <w:sz w:val="20"/>
                <w:szCs w:val="20"/>
              </w:rPr>
              <w:t>61.74</w:t>
            </w:r>
          </w:p>
        </w:tc>
        <w:tc>
          <w:tcPr>
            <w:tcW w:w="1413" w:type="dxa"/>
            <w:vAlign w:val="center"/>
          </w:tcPr>
          <w:p w14:paraId="0BD3230B">
            <w:pPr>
              <w:spacing w:line="240" w:lineRule="auto"/>
              <w:ind w:firstLine="0" w:firstLineChars="0"/>
              <w:jc w:val="center"/>
              <w:rPr>
                <w:rFonts w:eastAsia="宋体" w:cs="Times New Roman"/>
                <w:sz w:val="20"/>
                <w:szCs w:val="20"/>
              </w:rPr>
            </w:pPr>
            <w:r>
              <w:rPr>
                <w:rFonts w:eastAsia="宋体" w:cs="Times New Roman"/>
                <w:sz w:val="20"/>
                <w:szCs w:val="20"/>
              </w:rPr>
              <w:t>1.01</w:t>
            </w:r>
          </w:p>
        </w:tc>
        <w:tc>
          <w:tcPr>
            <w:tcW w:w="1218" w:type="dxa"/>
            <w:vAlign w:val="center"/>
          </w:tcPr>
          <w:p w14:paraId="3DF40169">
            <w:pPr>
              <w:spacing w:line="240" w:lineRule="auto"/>
              <w:ind w:firstLine="0" w:firstLineChars="0"/>
              <w:jc w:val="center"/>
              <w:rPr>
                <w:rFonts w:eastAsia="宋体" w:cs="Times New Roman"/>
                <w:sz w:val="20"/>
                <w:szCs w:val="20"/>
              </w:rPr>
            </w:pPr>
            <w:r>
              <w:rPr>
                <w:rFonts w:eastAsia="宋体" w:cs="Times New Roman"/>
                <w:sz w:val="20"/>
                <w:szCs w:val="20"/>
              </w:rPr>
              <w:t>1.66%</w:t>
            </w:r>
          </w:p>
        </w:tc>
      </w:tr>
      <w:tr w14:paraId="6E3C1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2830" w:type="dxa"/>
            <w:shd w:val="clear" w:color="auto" w:fill="auto"/>
            <w:noWrap/>
            <w:vAlign w:val="center"/>
          </w:tcPr>
          <w:p w14:paraId="3C9CACDB">
            <w:pPr>
              <w:spacing w:line="240" w:lineRule="auto"/>
              <w:ind w:firstLine="0" w:firstLineChars="0"/>
              <w:jc w:val="center"/>
              <w:rPr>
                <w:rFonts w:eastAsia="宋体" w:cs="Times New Roman"/>
                <w:sz w:val="20"/>
                <w:szCs w:val="20"/>
              </w:rPr>
            </w:pPr>
            <w:r>
              <w:rPr>
                <w:rFonts w:eastAsia="宋体" w:cs="Times New Roman"/>
                <w:sz w:val="20"/>
                <w:szCs w:val="20"/>
              </w:rPr>
              <w:t>节能环保支出</w:t>
            </w:r>
          </w:p>
        </w:tc>
        <w:tc>
          <w:tcPr>
            <w:tcW w:w="1418" w:type="dxa"/>
            <w:shd w:val="clear" w:color="auto" w:fill="auto"/>
            <w:noWrap/>
            <w:vAlign w:val="center"/>
          </w:tcPr>
          <w:p w14:paraId="61A01D35">
            <w:pPr>
              <w:spacing w:line="240" w:lineRule="auto"/>
              <w:ind w:firstLine="0" w:firstLineChars="0"/>
              <w:jc w:val="center"/>
              <w:rPr>
                <w:rFonts w:eastAsia="宋体" w:cs="Times New Roman"/>
                <w:sz w:val="20"/>
                <w:szCs w:val="20"/>
              </w:rPr>
            </w:pPr>
            <w:r>
              <w:rPr>
                <w:rFonts w:eastAsia="宋体" w:cs="Times New Roman"/>
                <w:sz w:val="20"/>
                <w:szCs w:val="20"/>
              </w:rPr>
              <w:t>0.00</w:t>
            </w:r>
          </w:p>
        </w:tc>
        <w:tc>
          <w:tcPr>
            <w:tcW w:w="1417" w:type="dxa"/>
            <w:shd w:val="clear" w:color="auto" w:fill="auto"/>
            <w:noWrap/>
            <w:vAlign w:val="center"/>
          </w:tcPr>
          <w:p w14:paraId="568D5750">
            <w:pPr>
              <w:spacing w:line="240" w:lineRule="auto"/>
              <w:ind w:firstLine="0" w:firstLineChars="0"/>
              <w:jc w:val="center"/>
              <w:rPr>
                <w:rFonts w:eastAsia="宋体" w:cs="Times New Roman"/>
                <w:sz w:val="20"/>
                <w:szCs w:val="20"/>
              </w:rPr>
            </w:pPr>
            <w:r>
              <w:rPr>
                <w:rFonts w:eastAsia="宋体" w:cs="Times New Roman"/>
                <w:sz w:val="20"/>
                <w:szCs w:val="20"/>
              </w:rPr>
              <w:t>15.62</w:t>
            </w:r>
          </w:p>
        </w:tc>
        <w:tc>
          <w:tcPr>
            <w:tcW w:w="1413" w:type="dxa"/>
            <w:vAlign w:val="center"/>
          </w:tcPr>
          <w:p w14:paraId="075B88D5">
            <w:pPr>
              <w:spacing w:line="240" w:lineRule="auto"/>
              <w:ind w:firstLine="0" w:firstLineChars="0"/>
              <w:jc w:val="center"/>
              <w:rPr>
                <w:rFonts w:eastAsia="宋体" w:cs="Times New Roman"/>
                <w:sz w:val="20"/>
                <w:szCs w:val="20"/>
              </w:rPr>
            </w:pPr>
            <w:r>
              <w:rPr>
                <w:rFonts w:eastAsia="宋体" w:cs="Times New Roman"/>
                <w:sz w:val="20"/>
                <w:szCs w:val="20"/>
              </w:rPr>
              <w:t>15.62</w:t>
            </w:r>
          </w:p>
        </w:tc>
        <w:tc>
          <w:tcPr>
            <w:tcW w:w="1218" w:type="dxa"/>
            <w:vAlign w:val="center"/>
          </w:tcPr>
          <w:p w14:paraId="5D9D1504">
            <w:pPr>
              <w:spacing w:line="240" w:lineRule="auto"/>
              <w:ind w:firstLine="0" w:firstLineChars="0"/>
              <w:jc w:val="center"/>
              <w:rPr>
                <w:rFonts w:eastAsia="宋体" w:cs="Times New Roman"/>
                <w:sz w:val="20"/>
                <w:szCs w:val="20"/>
              </w:rPr>
            </w:pPr>
            <w:r>
              <w:rPr>
                <w:rFonts w:eastAsia="宋体" w:cs="Times New Roman"/>
                <w:sz w:val="20"/>
                <w:szCs w:val="20"/>
              </w:rPr>
              <w:t>-</w:t>
            </w:r>
          </w:p>
        </w:tc>
      </w:tr>
      <w:tr w14:paraId="75468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2830" w:type="dxa"/>
            <w:shd w:val="clear" w:color="auto" w:fill="auto"/>
            <w:noWrap/>
            <w:vAlign w:val="center"/>
          </w:tcPr>
          <w:p w14:paraId="128FCB29">
            <w:pPr>
              <w:spacing w:line="240" w:lineRule="auto"/>
              <w:ind w:firstLine="0" w:firstLineChars="0"/>
              <w:jc w:val="center"/>
              <w:rPr>
                <w:rFonts w:eastAsia="宋体" w:cs="Times New Roman"/>
                <w:sz w:val="20"/>
                <w:szCs w:val="20"/>
              </w:rPr>
            </w:pPr>
            <w:r>
              <w:rPr>
                <w:rFonts w:eastAsia="宋体" w:cs="Times New Roman"/>
                <w:sz w:val="20"/>
                <w:szCs w:val="20"/>
              </w:rPr>
              <w:t>城乡社区支出</w:t>
            </w:r>
          </w:p>
        </w:tc>
        <w:tc>
          <w:tcPr>
            <w:tcW w:w="1418" w:type="dxa"/>
            <w:shd w:val="clear" w:color="auto" w:fill="auto"/>
            <w:noWrap/>
            <w:vAlign w:val="center"/>
          </w:tcPr>
          <w:p w14:paraId="3171AC5A">
            <w:pPr>
              <w:spacing w:line="240" w:lineRule="auto"/>
              <w:ind w:firstLine="0" w:firstLineChars="0"/>
              <w:jc w:val="center"/>
              <w:rPr>
                <w:rFonts w:eastAsia="宋体" w:cs="Times New Roman"/>
                <w:sz w:val="20"/>
                <w:szCs w:val="20"/>
              </w:rPr>
            </w:pPr>
            <w:r>
              <w:rPr>
                <w:rFonts w:eastAsia="宋体" w:cs="Times New Roman"/>
                <w:sz w:val="20"/>
                <w:szCs w:val="20"/>
              </w:rPr>
              <w:t>49124.87</w:t>
            </w:r>
          </w:p>
        </w:tc>
        <w:tc>
          <w:tcPr>
            <w:tcW w:w="1417" w:type="dxa"/>
            <w:shd w:val="clear" w:color="auto" w:fill="auto"/>
            <w:noWrap/>
            <w:vAlign w:val="center"/>
          </w:tcPr>
          <w:p w14:paraId="70EDC4F8">
            <w:pPr>
              <w:spacing w:line="240" w:lineRule="auto"/>
              <w:ind w:firstLine="0" w:firstLineChars="0"/>
              <w:jc w:val="center"/>
              <w:rPr>
                <w:rFonts w:eastAsia="宋体" w:cs="Times New Roman"/>
                <w:sz w:val="20"/>
                <w:szCs w:val="20"/>
              </w:rPr>
            </w:pPr>
            <w:r>
              <w:rPr>
                <w:rFonts w:eastAsia="宋体" w:cs="Times New Roman"/>
                <w:sz w:val="20"/>
                <w:szCs w:val="20"/>
              </w:rPr>
              <w:t>49746.71</w:t>
            </w:r>
          </w:p>
        </w:tc>
        <w:tc>
          <w:tcPr>
            <w:tcW w:w="1413" w:type="dxa"/>
            <w:vAlign w:val="center"/>
          </w:tcPr>
          <w:p w14:paraId="6CAA5AD9">
            <w:pPr>
              <w:spacing w:line="240" w:lineRule="auto"/>
              <w:ind w:firstLine="0" w:firstLineChars="0"/>
              <w:jc w:val="center"/>
              <w:rPr>
                <w:rFonts w:eastAsia="宋体" w:cs="Times New Roman"/>
                <w:sz w:val="20"/>
                <w:szCs w:val="20"/>
              </w:rPr>
            </w:pPr>
            <w:r>
              <w:rPr>
                <w:rFonts w:eastAsia="宋体" w:cs="Times New Roman"/>
                <w:sz w:val="20"/>
                <w:szCs w:val="20"/>
              </w:rPr>
              <w:t>621.84</w:t>
            </w:r>
          </w:p>
        </w:tc>
        <w:tc>
          <w:tcPr>
            <w:tcW w:w="1218" w:type="dxa"/>
            <w:vAlign w:val="center"/>
          </w:tcPr>
          <w:p w14:paraId="5E6C214E">
            <w:pPr>
              <w:spacing w:line="240" w:lineRule="auto"/>
              <w:ind w:firstLine="0" w:firstLineChars="0"/>
              <w:jc w:val="center"/>
              <w:rPr>
                <w:rFonts w:eastAsia="宋体" w:cs="Times New Roman"/>
                <w:sz w:val="20"/>
                <w:szCs w:val="20"/>
              </w:rPr>
            </w:pPr>
            <w:r>
              <w:rPr>
                <w:rFonts w:eastAsia="宋体" w:cs="Times New Roman"/>
                <w:sz w:val="20"/>
                <w:szCs w:val="20"/>
              </w:rPr>
              <w:t>1.27%</w:t>
            </w:r>
          </w:p>
        </w:tc>
      </w:tr>
      <w:tr w14:paraId="66A23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2830" w:type="dxa"/>
            <w:shd w:val="clear" w:color="auto" w:fill="auto"/>
            <w:noWrap/>
            <w:vAlign w:val="center"/>
          </w:tcPr>
          <w:p w14:paraId="2E635385">
            <w:pPr>
              <w:spacing w:line="240" w:lineRule="auto"/>
              <w:ind w:firstLine="0" w:firstLineChars="0"/>
              <w:jc w:val="center"/>
              <w:rPr>
                <w:rFonts w:eastAsia="宋体" w:cs="Times New Roman"/>
                <w:sz w:val="20"/>
                <w:szCs w:val="20"/>
              </w:rPr>
            </w:pPr>
            <w:r>
              <w:rPr>
                <w:rFonts w:eastAsia="宋体" w:cs="Times New Roman"/>
                <w:sz w:val="20"/>
                <w:szCs w:val="20"/>
              </w:rPr>
              <w:t>农林水支出</w:t>
            </w:r>
          </w:p>
        </w:tc>
        <w:tc>
          <w:tcPr>
            <w:tcW w:w="1418" w:type="dxa"/>
            <w:shd w:val="clear" w:color="auto" w:fill="auto"/>
            <w:noWrap/>
            <w:vAlign w:val="center"/>
          </w:tcPr>
          <w:p w14:paraId="3387E5DE">
            <w:pPr>
              <w:spacing w:line="240" w:lineRule="auto"/>
              <w:ind w:firstLine="0" w:firstLineChars="0"/>
              <w:jc w:val="center"/>
              <w:rPr>
                <w:rFonts w:eastAsia="宋体" w:cs="Times New Roman"/>
                <w:sz w:val="20"/>
                <w:szCs w:val="20"/>
              </w:rPr>
            </w:pPr>
            <w:r>
              <w:rPr>
                <w:rFonts w:eastAsia="宋体" w:cs="Times New Roman"/>
                <w:sz w:val="20"/>
                <w:szCs w:val="20"/>
              </w:rPr>
              <w:t>1102.88</w:t>
            </w:r>
          </w:p>
        </w:tc>
        <w:tc>
          <w:tcPr>
            <w:tcW w:w="1417" w:type="dxa"/>
            <w:shd w:val="clear" w:color="auto" w:fill="auto"/>
            <w:noWrap/>
            <w:vAlign w:val="center"/>
          </w:tcPr>
          <w:p w14:paraId="7F8A333C">
            <w:pPr>
              <w:spacing w:line="240" w:lineRule="auto"/>
              <w:ind w:firstLine="0" w:firstLineChars="0"/>
              <w:jc w:val="center"/>
              <w:rPr>
                <w:rFonts w:eastAsia="宋体" w:cs="Times New Roman"/>
                <w:sz w:val="20"/>
                <w:szCs w:val="20"/>
              </w:rPr>
            </w:pPr>
            <w:r>
              <w:rPr>
                <w:rFonts w:eastAsia="宋体" w:cs="Times New Roman"/>
                <w:sz w:val="20"/>
                <w:szCs w:val="20"/>
              </w:rPr>
              <w:t>1806.24</w:t>
            </w:r>
          </w:p>
        </w:tc>
        <w:tc>
          <w:tcPr>
            <w:tcW w:w="1413" w:type="dxa"/>
            <w:vAlign w:val="center"/>
          </w:tcPr>
          <w:p w14:paraId="73DC90D6">
            <w:pPr>
              <w:spacing w:line="240" w:lineRule="auto"/>
              <w:ind w:firstLine="0" w:firstLineChars="0"/>
              <w:jc w:val="center"/>
              <w:rPr>
                <w:rFonts w:eastAsia="宋体" w:cs="Times New Roman"/>
                <w:sz w:val="20"/>
                <w:szCs w:val="20"/>
              </w:rPr>
            </w:pPr>
            <w:r>
              <w:rPr>
                <w:rFonts w:eastAsia="宋体" w:cs="Times New Roman"/>
                <w:sz w:val="20"/>
                <w:szCs w:val="20"/>
              </w:rPr>
              <w:t>703.36</w:t>
            </w:r>
          </w:p>
        </w:tc>
        <w:tc>
          <w:tcPr>
            <w:tcW w:w="1218" w:type="dxa"/>
            <w:vAlign w:val="center"/>
          </w:tcPr>
          <w:p w14:paraId="6FAD4E50">
            <w:pPr>
              <w:spacing w:line="240" w:lineRule="auto"/>
              <w:ind w:firstLine="0" w:firstLineChars="0"/>
              <w:jc w:val="center"/>
              <w:rPr>
                <w:rFonts w:eastAsia="宋体" w:cs="Times New Roman"/>
                <w:sz w:val="20"/>
                <w:szCs w:val="20"/>
              </w:rPr>
            </w:pPr>
            <w:r>
              <w:rPr>
                <w:rFonts w:eastAsia="宋体" w:cs="Times New Roman"/>
                <w:sz w:val="20"/>
                <w:szCs w:val="20"/>
              </w:rPr>
              <w:t>63.77%</w:t>
            </w:r>
          </w:p>
        </w:tc>
      </w:tr>
      <w:tr w14:paraId="30D2E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2830" w:type="dxa"/>
            <w:shd w:val="clear" w:color="auto" w:fill="auto"/>
            <w:noWrap/>
            <w:vAlign w:val="center"/>
          </w:tcPr>
          <w:p w14:paraId="77C69E78">
            <w:pPr>
              <w:spacing w:line="240" w:lineRule="auto"/>
              <w:ind w:firstLine="0" w:firstLineChars="0"/>
              <w:jc w:val="center"/>
              <w:rPr>
                <w:rFonts w:eastAsia="宋体" w:cs="Times New Roman"/>
                <w:sz w:val="20"/>
                <w:szCs w:val="20"/>
              </w:rPr>
            </w:pPr>
            <w:r>
              <w:rPr>
                <w:rFonts w:eastAsia="宋体" w:cs="Times New Roman"/>
                <w:sz w:val="20"/>
                <w:szCs w:val="20"/>
              </w:rPr>
              <w:t>自然资源海洋气象等支出</w:t>
            </w:r>
          </w:p>
        </w:tc>
        <w:tc>
          <w:tcPr>
            <w:tcW w:w="1418" w:type="dxa"/>
            <w:shd w:val="clear" w:color="auto" w:fill="auto"/>
            <w:noWrap/>
            <w:vAlign w:val="center"/>
          </w:tcPr>
          <w:p w14:paraId="19BA69F7">
            <w:pPr>
              <w:spacing w:line="240" w:lineRule="auto"/>
              <w:ind w:firstLine="0" w:firstLineChars="0"/>
              <w:jc w:val="center"/>
              <w:rPr>
                <w:rFonts w:eastAsia="宋体" w:cs="Times New Roman"/>
                <w:sz w:val="20"/>
                <w:szCs w:val="20"/>
              </w:rPr>
            </w:pPr>
            <w:r>
              <w:rPr>
                <w:rFonts w:eastAsia="宋体" w:cs="Times New Roman"/>
                <w:sz w:val="20"/>
                <w:szCs w:val="20"/>
              </w:rPr>
              <w:t>3986.80</w:t>
            </w:r>
          </w:p>
        </w:tc>
        <w:tc>
          <w:tcPr>
            <w:tcW w:w="1417" w:type="dxa"/>
            <w:shd w:val="clear" w:color="auto" w:fill="auto"/>
            <w:noWrap/>
            <w:vAlign w:val="center"/>
          </w:tcPr>
          <w:p w14:paraId="1F7FF2B0">
            <w:pPr>
              <w:spacing w:line="240" w:lineRule="auto"/>
              <w:ind w:firstLine="0" w:firstLineChars="0"/>
              <w:jc w:val="center"/>
              <w:rPr>
                <w:rFonts w:eastAsia="宋体" w:cs="Times New Roman"/>
                <w:sz w:val="20"/>
                <w:szCs w:val="20"/>
              </w:rPr>
            </w:pPr>
            <w:r>
              <w:rPr>
                <w:rFonts w:eastAsia="宋体" w:cs="Times New Roman"/>
                <w:sz w:val="20"/>
                <w:szCs w:val="20"/>
              </w:rPr>
              <w:t>3293.58</w:t>
            </w:r>
          </w:p>
        </w:tc>
        <w:tc>
          <w:tcPr>
            <w:tcW w:w="1413" w:type="dxa"/>
            <w:vAlign w:val="center"/>
          </w:tcPr>
          <w:p w14:paraId="0A8E0822">
            <w:pPr>
              <w:spacing w:line="240" w:lineRule="auto"/>
              <w:ind w:firstLine="0" w:firstLineChars="0"/>
              <w:jc w:val="center"/>
              <w:rPr>
                <w:rFonts w:eastAsia="宋体" w:cs="Times New Roman"/>
                <w:sz w:val="20"/>
                <w:szCs w:val="20"/>
              </w:rPr>
            </w:pPr>
            <w:r>
              <w:rPr>
                <w:rFonts w:eastAsia="宋体" w:cs="Times New Roman"/>
                <w:sz w:val="20"/>
                <w:szCs w:val="20"/>
              </w:rPr>
              <w:t>-693.22</w:t>
            </w:r>
          </w:p>
        </w:tc>
        <w:tc>
          <w:tcPr>
            <w:tcW w:w="1218" w:type="dxa"/>
            <w:vAlign w:val="center"/>
          </w:tcPr>
          <w:p w14:paraId="05DAAAB1">
            <w:pPr>
              <w:spacing w:line="240" w:lineRule="auto"/>
              <w:ind w:firstLine="0" w:firstLineChars="0"/>
              <w:jc w:val="center"/>
              <w:rPr>
                <w:rFonts w:eastAsia="宋体" w:cs="Times New Roman"/>
                <w:sz w:val="20"/>
                <w:szCs w:val="20"/>
              </w:rPr>
            </w:pPr>
            <w:r>
              <w:rPr>
                <w:rFonts w:eastAsia="宋体" w:cs="Times New Roman"/>
                <w:sz w:val="20"/>
                <w:szCs w:val="20"/>
              </w:rPr>
              <w:t>17.39%</w:t>
            </w:r>
          </w:p>
        </w:tc>
      </w:tr>
      <w:tr w14:paraId="6AE70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2830" w:type="dxa"/>
            <w:shd w:val="clear" w:color="auto" w:fill="auto"/>
            <w:noWrap/>
            <w:vAlign w:val="center"/>
          </w:tcPr>
          <w:p w14:paraId="26ECCBAB">
            <w:pPr>
              <w:spacing w:line="240" w:lineRule="auto"/>
              <w:ind w:firstLine="0" w:firstLineChars="0"/>
              <w:jc w:val="center"/>
              <w:rPr>
                <w:rFonts w:eastAsia="宋体" w:cs="Times New Roman"/>
                <w:sz w:val="20"/>
                <w:szCs w:val="20"/>
              </w:rPr>
            </w:pPr>
            <w:r>
              <w:rPr>
                <w:rFonts w:eastAsia="宋体" w:cs="Times New Roman"/>
                <w:sz w:val="20"/>
                <w:szCs w:val="20"/>
              </w:rPr>
              <w:t>住房保障支出</w:t>
            </w:r>
          </w:p>
        </w:tc>
        <w:tc>
          <w:tcPr>
            <w:tcW w:w="1418" w:type="dxa"/>
            <w:shd w:val="clear" w:color="auto" w:fill="auto"/>
            <w:noWrap/>
            <w:vAlign w:val="center"/>
          </w:tcPr>
          <w:p w14:paraId="654E2600">
            <w:pPr>
              <w:spacing w:line="240" w:lineRule="auto"/>
              <w:ind w:firstLine="0" w:firstLineChars="0"/>
              <w:jc w:val="center"/>
              <w:rPr>
                <w:rFonts w:eastAsia="宋体" w:cs="Times New Roman"/>
                <w:sz w:val="20"/>
                <w:szCs w:val="20"/>
              </w:rPr>
            </w:pPr>
            <w:r>
              <w:rPr>
                <w:rFonts w:eastAsia="宋体" w:cs="Times New Roman"/>
                <w:sz w:val="20"/>
                <w:szCs w:val="20"/>
              </w:rPr>
              <w:t>195.56</w:t>
            </w:r>
          </w:p>
        </w:tc>
        <w:tc>
          <w:tcPr>
            <w:tcW w:w="1417" w:type="dxa"/>
            <w:shd w:val="clear" w:color="auto" w:fill="auto"/>
            <w:noWrap/>
            <w:vAlign w:val="center"/>
          </w:tcPr>
          <w:p w14:paraId="0214C7C3">
            <w:pPr>
              <w:spacing w:line="240" w:lineRule="auto"/>
              <w:ind w:firstLine="0" w:firstLineChars="0"/>
              <w:jc w:val="center"/>
              <w:rPr>
                <w:rFonts w:eastAsia="宋体" w:cs="Times New Roman"/>
                <w:sz w:val="20"/>
                <w:szCs w:val="20"/>
              </w:rPr>
            </w:pPr>
            <w:r>
              <w:rPr>
                <w:rFonts w:eastAsia="宋体" w:cs="Times New Roman"/>
                <w:sz w:val="20"/>
                <w:szCs w:val="20"/>
              </w:rPr>
              <w:t>201.09</w:t>
            </w:r>
          </w:p>
        </w:tc>
        <w:tc>
          <w:tcPr>
            <w:tcW w:w="1413" w:type="dxa"/>
            <w:vAlign w:val="center"/>
          </w:tcPr>
          <w:p w14:paraId="72403DAF">
            <w:pPr>
              <w:spacing w:line="240" w:lineRule="auto"/>
              <w:ind w:firstLine="0" w:firstLineChars="0"/>
              <w:jc w:val="center"/>
              <w:rPr>
                <w:rFonts w:eastAsia="宋体" w:cs="Times New Roman"/>
                <w:sz w:val="20"/>
                <w:szCs w:val="20"/>
              </w:rPr>
            </w:pPr>
            <w:r>
              <w:rPr>
                <w:rFonts w:eastAsia="宋体" w:cs="Times New Roman"/>
                <w:sz w:val="20"/>
                <w:szCs w:val="20"/>
              </w:rPr>
              <w:t>5.53</w:t>
            </w:r>
          </w:p>
        </w:tc>
        <w:tc>
          <w:tcPr>
            <w:tcW w:w="1218" w:type="dxa"/>
            <w:vAlign w:val="center"/>
          </w:tcPr>
          <w:p w14:paraId="258B451C">
            <w:pPr>
              <w:spacing w:line="240" w:lineRule="auto"/>
              <w:ind w:firstLine="0" w:firstLineChars="0"/>
              <w:jc w:val="center"/>
              <w:rPr>
                <w:rFonts w:eastAsia="宋体" w:cs="Times New Roman"/>
                <w:sz w:val="20"/>
                <w:szCs w:val="20"/>
              </w:rPr>
            </w:pPr>
            <w:r>
              <w:rPr>
                <w:rFonts w:eastAsia="宋体" w:cs="Times New Roman"/>
                <w:sz w:val="20"/>
                <w:szCs w:val="20"/>
              </w:rPr>
              <w:t>2.83%</w:t>
            </w:r>
          </w:p>
        </w:tc>
      </w:tr>
      <w:tr w14:paraId="32008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2830" w:type="dxa"/>
            <w:shd w:val="clear" w:color="auto" w:fill="auto"/>
            <w:noWrap/>
            <w:vAlign w:val="center"/>
          </w:tcPr>
          <w:p w14:paraId="3C31B1B7">
            <w:pPr>
              <w:spacing w:line="240" w:lineRule="auto"/>
              <w:ind w:firstLine="0" w:firstLineChars="0"/>
              <w:jc w:val="center"/>
              <w:rPr>
                <w:rFonts w:eastAsia="宋体" w:cs="Times New Roman"/>
                <w:sz w:val="20"/>
                <w:szCs w:val="20"/>
              </w:rPr>
            </w:pPr>
            <w:r>
              <w:rPr>
                <w:rFonts w:eastAsia="宋体" w:cs="Times New Roman"/>
                <w:sz w:val="20"/>
                <w:szCs w:val="20"/>
              </w:rPr>
              <w:t>灾害防治及应急管理支出</w:t>
            </w:r>
          </w:p>
        </w:tc>
        <w:tc>
          <w:tcPr>
            <w:tcW w:w="1418" w:type="dxa"/>
            <w:shd w:val="clear" w:color="auto" w:fill="auto"/>
            <w:noWrap/>
            <w:vAlign w:val="center"/>
          </w:tcPr>
          <w:p w14:paraId="597B8DA0">
            <w:pPr>
              <w:spacing w:line="240" w:lineRule="auto"/>
              <w:ind w:firstLine="0" w:firstLineChars="0"/>
              <w:jc w:val="center"/>
              <w:rPr>
                <w:rFonts w:eastAsia="宋体" w:cs="Times New Roman"/>
                <w:sz w:val="20"/>
                <w:szCs w:val="20"/>
              </w:rPr>
            </w:pPr>
            <w:r>
              <w:rPr>
                <w:rFonts w:eastAsia="宋体" w:cs="Times New Roman"/>
                <w:sz w:val="20"/>
                <w:szCs w:val="20"/>
              </w:rPr>
              <w:t>536.57</w:t>
            </w:r>
          </w:p>
        </w:tc>
        <w:tc>
          <w:tcPr>
            <w:tcW w:w="1417" w:type="dxa"/>
            <w:shd w:val="clear" w:color="auto" w:fill="auto"/>
            <w:noWrap/>
            <w:vAlign w:val="center"/>
          </w:tcPr>
          <w:p w14:paraId="73F50C49">
            <w:pPr>
              <w:spacing w:line="240" w:lineRule="auto"/>
              <w:ind w:firstLine="0" w:firstLineChars="0"/>
              <w:jc w:val="center"/>
              <w:rPr>
                <w:rFonts w:eastAsia="宋体" w:cs="Times New Roman"/>
                <w:sz w:val="20"/>
                <w:szCs w:val="20"/>
              </w:rPr>
            </w:pPr>
            <w:r>
              <w:rPr>
                <w:rFonts w:eastAsia="宋体" w:cs="Times New Roman"/>
                <w:sz w:val="20"/>
                <w:szCs w:val="20"/>
              </w:rPr>
              <w:t>617.34</w:t>
            </w:r>
          </w:p>
        </w:tc>
        <w:tc>
          <w:tcPr>
            <w:tcW w:w="1413" w:type="dxa"/>
            <w:vAlign w:val="center"/>
          </w:tcPr>
          <w:p w14:paraId="1AE55292">
            <w:pPr>
              <w:spacing w:line="240" w:lineRule="auto"/>
              <w:ind w:firstLine="0" w:firstLineChars="0"/>
              <w:jc w:val="center"/>
              <w:rPr>
                <w:rFonts w:eastAsia="宋体" w:cs="Times New Roman"/>
                <w:sz w:val="20"/>
                <w:szCs w:val="20"/>
              </w:rPr>
            </w:pPr>
            <w:r>
              <w:rPr>
                <w:rFonts w:eastAsia="宋体" w:cs="Times New Roman"/>
                <w:sz w:val="20"/>
                <w:szCs w:val="20"/>
              </w:rPr>
              <w:t>80.77</w:t>
            </w:r>
          </w:p>
        </w:tc>
        <w:tc>
          <w:tcPr>
            <w:tcW w:w="1218" w:type="dxa"/>
            <w:vAlign w:val="center"/>
          </w:tcPr>
          <w:p w14:paraId="6A9D5CDD">
            <w:pPr>
              <w:spacing w:line="240" w:lineRule="auto"/>
              <w:ind w:firstLine="0" w:firstLineChars="0"/>
              <w:jc w:val="center"/>
              <w:rPr>
                <w:rFonts w:eastAsia="宋体" w:cs="Times New Roman"/>
                <w:sz w:val="20"/>
                <w:szCs w:val="20"/>
              </w:rPr>
            </w:pPr>
            <w:r>
              <w:rPr>
                <w:rFonts w:eastAsia="宋体" w:cs="Times New Roman"/>
                <w:sz w:val="20"/>
                <w:szCs w:val="20"/>
              </w:rPr>
              <w:t>15.05%</w:t>
            </w:r>
          </w:p>
        </w:tc>
      </w:tr>
      <w:tr w14:paraId="1BAAC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2830" w:type="dxa"/>
            <w:shd w:val="clear" w:color="auto" w:fill="auto"/>
            <w:noWrap/>
            <w:vAlign w:val="center"/>
          </w:tcPr>
          <w:p w14:paraId="589A1CEB">
            <w:pPr>
              <w:spacing w:line="240" w:lineRule="auto"/>
              <w:ind w:firstLine="0" w:firstLineChars="0"/>
              <w:jc w:val="center"/>
              <w:rPr>
                <w:rFonts w:eastAsia="宋体" w:cs="Times New Roman"/>
                <w:sz w:val="20"/>
                <w:szCs w:val="20"/>
              </w:rPr>
            </w:pPr>
            <w:r>
              <w:rPr>
                <w:rFonts w:eastAsia="宋体" w:cs="Times New Roman"/>
                <w:sz w:val="20"/>
                <w:szCs w:val="20"/>
              </w:rPr>
              <w:t>合计</w:t>
            </w:r>
          </w:p>
        </w:tc>
        <w:tc>
          <w:tcPr>
            <w:tcW w:w="1418" w:type="dxa"/>
            <w:shd w:val="clear" w:color="auto" w:fill="auto"/>
            <w:noWrap/>
            <w:vAlign w:val="center"/>
          </w:tcPr>
          <w:p w14:paraId="2B544FB8">
            <w:pPr>
              <w:spacing w:line="240" w:lineRule="auto"/>
              <w:ind w:firstLine="0" w:firstLineChars="0"/>
              <w:jc w:val="center"/>
              <w:rPr>
                <w:rFonts w:eastAsia="宋体" w:cs="Times New Roman"/>
                <w:sz w:val="20"/>
                <w:szCs w:val="20"/>
              </w:rPr>
            </w:pPr>
            <w:r>
              <w:rPr>
                <w:rFonts w:eastAsia="宋体" w:cs="Times New Roman"/>
                <w:sz w:val="20"/>
                <w:szCs w:val="20"/>
              </w:rPr>
              <w:t>54236.97</w:t>
            </w:r>
          </w:p>
        </w:tc>
        <w:tc>
          <w:tcPr>
            <w:tcW w:w="1417" w:type="dxa"/>
            <w:shd w:val="clear" w:color="auto" w:fill="auto"/>
            <w:noWrap/>
            <w:vAlign w:val="center"/>
          </w:tcPr>
          <w:p w14:paraId="5C831258">
            <w:pPr>
              <w:spacing w:line="240" w:lineRule="auto"/>
              <w:ind w:firstLine="0" w:firstLineChars="0"/>
              <w:jc w:val="center"/>
              <w:rPr>
                <w:rFonts w:eastAsia="宋体" w:cs="Times New Roman"/>
                <w:sz w:val="20"/>
                <w:szCs w:val="20"/>
              </w:rPr>
            </w:pPr>
            <w:r>
              <w:rPr>
                <w:rFonts w:eastAsia="宋体" w:cs="Times New Roman"/>
                <w:sz w:val="20"/>
                <w:szCs w:val="20"/>
              </w:rPr>
              <w:t>65235.71</w:t>
            </w:r>
          </w:p>
        </w:tc>
        <w:tc>
          <w:tcPr>
            <w:tcW w:w="1413" w:type="dxa"/>
            <w:vAlign w:val="center"/>
          </w:tcPr>
          <w:p w14:paraId="2B63A545">
            <w:pPr>
              <w:spacing w:line="240" w:lineRule="auto"/>
              <w:ind w:firstLine="0" w:firstLineChars="0"/>
              <w:jc w:val="center"/>
              <w:rPr>
                <w:rFonts w:eastAsia="宋体" w:cs="Times New Roman"/>
                <w:sz w:val="20"/>
                <w:szCs w:val="20"/>
              </w:rPr>
            </w:pPr>
            <w:r>
              <w:rPr>
                <w:rFonts w:eastAsia="宋体" w:cs="Times New Roman"/>
                <w:sz w:val="20"/>
                <w:szCs w:val="20"/>
              </w:rPr>
              <w:t>6998.74</w:t>
            </w:r>
          </w:p>
        </w:tc>
        <w:tc>
          <w:tcPr>
            <w:tcW w:w="1218" w:type="dxa"/>
            <w:vAlign w:val="center"/>
          </w:tcPr>
          <w:p w14:paraId="28C7FFBD">
            <w:pPr>
              <w:spacing w:line="240" w:lineRule="auto"/>
              <w:ind w:firstLine="0" w:firstLineChars="0"/>
              <w:jc w:val="center"/>
              <w:rPr>
                <w:rFonts w:eastAsia="宋体" w:cs="Times New Roman"/>
                <w:sz w:val="20"/>
                <w:szCs w:val="20"/>
              </w:rPr>
            </w:pPr>
            <w:r>
              <w:rPr>
                <w:rFonts w:eastAsia="宋体" w:cs="Times New Roman"/>
                <w:sz w:val="20"/>
                <w:szCs w:val="20"/>
              </w:rPr>
              <w:t>12.02%</w:t>
            </w:r>
          </w:p>
        </w:tc>
      </w:tr>
    </w:tbl>
    <w:p w14:paraId="02AAD5E4">
      <w:pPr>
        <w:ind w:firstLine="643"/>
        <w:rPr>
          <w:rFonts w:eastAsia="仿宋_GB2312" w:cs="Times New Roman"/>
          <w:b/>
          <w:bCs/>
          <w:sz w:val="32"/>
        </w:rPr>
      </w:pPr>
    </w:p>
    <w:p w14:paraId="6EDC48AB">
      <w:pPr>
        <w:ind w:firstLine="640"/>
        <w:rPr>
          <w:rFonts w:eastAsia="仿宋_GB2312" w:cs="Times New Roman"/>
          <w:sz w:val="32"/>
          <w:szCs w:val="24"/>
          <w:lang w:val="zh-CN"/>
        </w:rPr>
      </w:pPr>
      <w:bookmarkStart w:id="20" w:name="_Toc77784242"/>
      <w:r>
        <w:rPr>
          <w:rFonts w:hint="eastAsia" w:eastAsia="仿宋_GB2312" w:cs="Times New Roman"/>
          <w:sz w:val="32"/>
          <w:szCs w:val="24"/>
          <w:lang w:val="zh-CN"/>
        </w:rPr>
        <w:t>2</w:t>
      </w:r>
      <w:r>
        <w:rPr>
          <w:rFonts w:eastAsia="仿宋_GB2312" w:cs="Times New Roman"/>
          <w:sz w:val="32"/>
          <w:szCs w:val="24"/>
          <w:lang w:val="zh-CN"/>
        </w:rPr>
        <w:t>.</w:t>
      </w:r>
      <w:r>
        <w:rPr>
          <w:rFonts w:hint="eastAsia" w:eastAsia="仿宋_GB2312" w:cs="Times New Roman"/>
          <w:sz w:val="32"/>
          <w:szCs w:val="24"/>
          <w:lang w:val="zh-CN"/>
        </w:rPr>
        <w:t>预算支出情况</w:t>
      </w:r>
      <w:bookmarkEnd w:id="20"/>
    </w:p>
    <w:p w14:paraId="13DCB4D9">
      <w:pPr>
        <w:ind w:firstLine="640"/>
        <w:rPr>
          <w:rFonts w:eastAsia="仿宋_GB2312" w:cs="Times New Roman"/>
          <w:sz w:val="32"/>
          <w:szCs w:val="24"/>
          <w:lang w:val="zh-CN"/>
        </w:rPr>
      </w:pPr>
      <w:r>
        <w:rPr>
          <w:rFonts w:hint="eastAsia" w:eastAsia="仿宋_GB2312" w:cs="Times New Roman"/>
          <w:sz w:val="32"/>
          <w:szCs w:val="24"/>
          <w:lang w:val="zh-CN"/>
        </w:rPr>
        <w:t>2020年自然资源和规划局年初支出预算数58236.97万元，预算追加数6998.74万元，支出决算数</w:t>
      </w:r>
      <w:r>
        <w:rPr>
          <w:rFonts w:eastAsia="仿宋_GB2312" w:cs="Times New Roman"/>
          <w:sz w:val="32"/>
          <w:szCs w:val="24"/>
          <w:lang w:val="zh-CN"/>
        </w:rPr>
        <w:t>65235.71</w:t>
      </w:r>
      <w:r>
        <w:rPr>
          <w:rFonts w:hint="eastAsia" w:eastAsia="仿宋_GB2312" w:cs="Times New Roman"/>
          <w:sz w:val="32"/>
          <w:szCs w:val="24"/>
          <w:lang w:val="zh-CN"/>
        </w:rPr>
        <w:t>万元。</w:t>
      </w:r>
    </w:p>
    <w:p w14:paraId="1512A274">
      <w:pPr>
        <w:ind w:firstLine="640"/>
        <w:rPr>
          <w:rFonts w:eastAsia="仿宋_GB2312" w:cs="Times New Roman"/>
          <w:sz w:val="32"/>
          <w:szCs w:val="24"/>
          <w:lang w:val="zh-CN"/>
        </w:rPr>
      </w:pPr>
      <w:r>
        <w:rPr>
          <w:rFonts w:hint="eastAsia" w:eastAsia="仿宋_GB2312" w:cs="Times New Roman"/>
          <w:sz w:val="32"/>
          <w:szCs w:val="24"/>
          <w:lang w:val="zh-CN"/>
        </w:rPr>
        <w:t>部门预算支出可分为两个方向：一是基本支出，包括人员经费支出和日常公用经费支出，共计2771.</w:t>
      </w:r>
      <w:r>
        <w:rPr>
          <w:rFonts w:eastAsia="仿宋_GB2312" w:cs="Times New Roman"/>
          <w:sz w:val="32"/>
          <w:szCs w:val="24"/>
          <w:lang w:val="zh-CN"/>
        </w:rPr>
        <w:t>3</w:t>
      </w:r>
      <w:r>
        <w:rPr>
          <w:rFonts w:hint="eastAsia" w:eastAsia="仿宋_GB2312" w:cs="Times New Roman"/>
          <w:sz w:val="32"/>
          <w:szCs w:val="24"/>
          <w:lang w:val="zh-CN"/>
        </w:rPr>
        <w:t>6万元；二是项目支出，包括专项业务类项目支出，共计62464.35万元。</w:t>
      </w:r>
    </w:p>
    <w:p w14:paraId="06EF09C5">
      <w:pPr>
        <w:ind w:firstLine="0" w:firstLineChars="0"/>
        <w:jc w:val="center"/>
        <w:rPr>
          <w:rFonts w:eastAsia="幼圆" w:cs="Times New Roman"/>
          <w:b/>
          <w:szCs w:val="32"/>
        </w:rPr>
      </w:pPr>
      <w:r>
        <w:rPr>
          <w:rFonts w:hint="eastAsia" w:eastAsia="幼圆" w:cs="Times New Roman"/>
          <w:b/>
          <w:szCs w:val="32"/>
        </w:rPr>
        <w:t>附表2</w:t>
      </w:r>
      <w:r>
        <w:rPr>
          <w:rFonts w:eastAsia="幼圆" w:cs="Times New Roman"/>
          <w:b/>
          <w:szCs w:val="32"/>
        </w:rPr>
        <w:t>020</w:t>
      </w:r>
      <w:r>
        <w:rPr>
          <w:rFonts w:hint="eastAsia" w:eastAsia="幼圆" w:cs="Times New Roman"/>
          <w:b/>
          <w:szCs w:val="32"/>
        </w:rPr>
        <w:t>年绵竹市自然资源和规划局部门基本支出表</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9"/>
        <w:gridCol w:w="908"/>
        <w:gridCol w:w="1154"/>
        <w:gridCol w:w="2475"/>
        <w:gridCol w:w="1583"/>
        <w:gridCol w:w="1263"/>
      </w:tblGrid>
      <w:tr w14:paraId="2C38C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trPr>
        <w:tc>
          <w:tcPr>
            <w:tcW w:w="668" w:type="pct"/>
            <w:shd w:val="clear" w:color="auto" w:fill="00516B"/>
            <w:noWrap/>
            <w:vAlign w:val="center"/>
          </w:tcPr>
          <w:p w14:paraId="1B5684F0">
            <w:pPr>
              <w:spacing w:line="240" w:lineRule="auto"/>
              <w:ind w:firstLine="0" w:firstLineChars="0"/>
              <w:jc w:val="center"/>
              <w:rPr>
                <w:rFonts w:eastAsia="宋体" w:cs="Times New Roman"/>
                <w:b/>
                <w:bCs/>
                <w:color w:val="FFFFFF" w:themeColor="background1"/>
                <w:sz w:val="20"/>
                <w:szCs w:val="20"/>
              </w:rPr>
            </w:pPr>
            <w:r>
              <w:rPr>
                <w:rFonts w:eastAsia="宋体" w:cs="Times New Roman"/>
                <w:b/>
                <w:bCs/>
                <w:color w:val="FFFFFF" w:themeColor="background1"/>
                <w:sz w:val="20"/>
                <w:szCs w:val="20"/>
              </w:rPr>
              <w:t>支出类别</w:t>
            </w:r>
          </w:p>
        </w:tc>
        <w:tc>
          <w:tcPr>
            <w:tcW w:w="2662" w:type="pct"/>
            <w:gridSpan w:val="3"/>
            <w:shd w:val="clear" w:color="auto" w:fill="00516B"/>
            <w:vAlign w:val="center"/>
          </w:tcPr>
          <w:p w14:paraId="6136B1C5">
            <w:pPr>
              <w:spacing w:line="240" w:lineRule="auto"/>
              <w:ind w:firstLine="0" w:firstLineChars="0"/>
              <w:jc w:val="center"/>
              <w:rPr>
                <w:rFonts w:eastAsia="宋体" w:cs="Times New Roman"/>
                <w:b/>
                <w:bCs/>
                <w:color w:val="FFFFFF" w:themeColor="background1"/>
                <w:sz w:val="20"/>
                <w:szCs w:val="20"/>
              </w:rPr>
            </w:pPr>
            <w:r>
              <w:rPr>
                <w:rFonts w:eastAsia="宋体" w:cs="Times New Roman"/>
                <w:b/>
                <w:bCs/>
                <w:color w:val="FFFFFF" w:themeColor="background1"/>
                <w:sz w:val="20"/>
                <w:szCs w:val="20"/>
              </w:rPr>
              <w:t>科目名称</w:t>
            </w:r>
          </w:p>
        </w:tc>
        <w:tc>
          <w:tcPr>
            <w:tcW w:w="929" w:type="pct"/>
            <w:shd w:val="clear" w:color="auto" w:fill="00516B"/>
            <w:vAlign w:val="center"/>
          </w:tcPr>
          <w:p w14:paraId="0A4EB075">
            <w:pPr>
              <w:spacing w:line="240" w:lineRule="auto"/>
              <w:ind w:firstLine="0" w:firstLineChars="0"/>
              <w:jc w:val="center"/>
              <w:rPr>
                <w:rFonts w:eastAsia="宋体" w:cs="Times New Roman"/>
                <w:b/>
                <w:bCs/>
                <w:color w:val="FFFFFF" w:themeColor="background1"/>
                <w:sz w:val="20"/>
                <w:szCs w:val="20"/>
              </w:rPr>
            </w:pPr>
            <w:r>
              <w:rPr>
                <w:rFonts w:eastAsia="宋体" w:cs="Times New Roman"/>
                <w:b/>
                <w:bCs/>
                <w:color w:val="FFFFFF" w:themeColor="background1"/>
                <w:sz w:val="20"/>
                <w:szCs w:val="20"/>
              </w:rPr>
              <w:t>调整后预算数（万元）</w:t>
            </w:r>
          </w:p>
        </w:tc>
        <w:tc>
          <w:tcPr>
            <w:tcW w:w="742" w:type="pct"/>
            <w:shd w:val="clear" w:color="auto" w:fill="00516B"/>
            <w:vAlign w:val="center"/>
          </w:tcPr>
          <w:p w14:paraId="07D41C79">
            <w:pPr>
              <w:spacing w:line="240" w:lineRule="auto"/>
              <w:ind w:firstLine="0" w:firstLineChars="0"/>
              <w:jc w:val="center"/>
              <w:rPr>
                <w:rFonts w:eastAsia="宋体" w:cs="Times New Roman"/>
                <w:b/>
                <w:bCs/>
                <w:color w:val="FFFFFF" w:themeColor="background1"/>
                <w:sz w:val="20"/>
                <w:szCs w:val="20"/>
              </w:rPr>
            </w:pPr>
            <w:r>
              <w:rPr>
                <w:rFonts w:eastAsia="宋体" w:cs="Times New Roman"/>
                <w:b/>
                <w:bCs/>
                <w:color w:val="FFFFFF" w:themeColor="background1"/>
                <w:sz w:val="20"/>
                <w:szCs w:val="20"/>
              </w:rPr>
              <w:t>实际支出</w:t>
            </w:r>
          </w:p>
          <w:p w14:paraId="6F5508A0">
            <w:pPr>
              <w:spacing w:line="240" w:lineRule="auto"/>
              <w:ind w:firstLine="0" w:firstLineChars="0"/>
              <w:jc w:val="center"/>
              <w:rPr>
                <w:rFonts w:eastAsia="宋体" w:cs="Times New Roman"/>
                <w:b/>
                <w:bCs/>
                <w:color w:val="FFFFFF" w:themeColor="background1"/>
                <w:sz w:val="20"/>
                <w:szCs w:val="20"/>
              </w:rPr>
            </w:pPr>
            <w:r>
              <w:rPr>
                <w:rFonts w:eastAsia="宋体" w:cs="Times New Roman"/>
                <w:b/>
                <w:bCs/>
                <w:color w:val="FFFFFF" w:themeColor="background1"/>
                <w:sz w:val="20"/>
                <w:szCs w:val="20"/>
              </w:rPr>
              <w:t>（万元）</w:t>
            </w:r>
          </w:p>
        </w:tc>
      </w:tr>
      <w:tr w14:paraId="354D0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668" w:type="pct"/>
            <w:vMerge w:val="restart"/>
            <w:shd w:val="clear" w:color="auto" w:fill="auto"/>
            <w:noWrap/>
            <w:vAlign w:val="center"/>
          </w:tcPr>
          <w:p w14:paraId="18DA55AF">
            <w:pPr>
              <w:spacing w:line="240" w:lineRule="auto"/>
              <w:ind w:firstLine="0" w:firstLineChars="0"/>
              <w:jc w:val="center"/>
              <w:rPr>
                <w:rFonts w:eastAsia="宋体" w:cs="Times New Roman"/>
                <w:b/>
                <w:bCs/>
                <w:sz w:val="20"/>
                <w:szCs w:val="20"/>
              </w:rPr>
            </w:pPr>
            <w:r>
              <w:rPr>
                <w:rFonts w:eastAsia="宋体" w:cs="Times New Roman"/>
                <w:b/>
                <w:bCs/>
                <w:sz w:val="20"/>
                <w:szCs w:val="20"/>
              </w:rPr>
              <w:t>基本支出</w:t>
            </w:r>
          </w:p>
        </w:tc>
        <w:tc>
          <w:tcPr>
            <w:tcW w:w="533" w:type="pct"/>
            <w:vMerge w:val="restart"/>
            <w:shd w:val="clear" w:color="000000" w:fill="FFFFFF"/>
            <w:vAlign w:val="center"/>
          </w:tcPr>
          <w:p w14:paraId="0B15CDFB">
            <w:pPr>
              <w:spacing w:line="240" w:lineRule="auto"/>
              <w:ind w:firstLine="0" w:firstLineChars="0"/>
              <w:jc w:val="center"/>
              <w:rPr>
                <w:rFonts w:eastAsia="宋体" w:cs="Times New Roman"/>
                <w:sz w:val="20"/>
                <w:szCs w:val="20"/>
              </w:rPr>
            </w:pPr>
            <w:r>
              <w:rPr>
                <w:rFonts w:eastAsia="宋体" w:cs="Times New Roman"/>
                <w:sz w:val="20"/>
                <w:szCs w:val="20"/>
              </w:rPr>
              <w:t>社会保障和就业支出</w:t>
            </w:r>
          </w:p>
        </w:tc>
        <w:tc>
          <w:tcPr>
            <w:tcW w:w="677" w:type="pct"/>
            <w:vMerge w:val="restart"/>
            <w:shd w:val="clear" w:color="000000" w:fill="FFFFFF"/>
            <w:vAlign w:val="center"/>
          </w:tcPr>
          <w:p w14:paraId="5E8BBA86">
            <w:pPr>
              <w:spacing w:line="240" w:lineRule="auto"/>
              <w:ind w:firstLine="0" w:firstLineChars="0"/>
              <w:jc w:val="center"/>
              <w:rPr>
                <w:rFonts w:eastAsia="宋体" w:cs="Times New Roman"/>
                <w:sz w:val="20"/>
                <w:szCs w:val="20"/>
              </w:rPr>
            </w:pPr>
            <w:r>
              <w:rPr>
                <w:rFonts w:eastAsia="宋体" w:cs="Times New Roman"/>
                <w:sz w:val="20"/>
                <w:szCs w:val="20"/>
              </w:rPr>
              <w:t>行政事业单位养老支出</w:t>
            </w:r>
          </w:p>
        </w:tc>
        <w:tc>
          <w:tcPr>
            <w:tcW w:w="1452" w:type="pct"/>
            <w:shd w:val="clear" w:color="000000" w:fill="FFFFFF"/>
            <w:vAlign w:val="center"/>
          </w:tcPr>
          <w:p w14:paraId="317F8431">
            <w:pPr>
              <w:spacing w:line="240" w:lineRule="auto"/>
              <w:ind w:firstLine="0" w:firstLineChars="0"/>
              <w:jc w:val="center"/>
              <w:rPr>
                <w:rFonts w:eastAsia="宋体" w:cs="Times New Roman"/>
                <w:sz w:val="20"/>
                <w:szCs w:val="20"/>
              </w:rPr>
            </w:pPr>
            <w:r>
              <w:rPr>
                <w:rFonts w:eastAsia="宋体" w:cs="Times New Roman"/>
                <w:sz w:val="20"/>
                <w:szCs w:val="20"/>
              </w:rPr>
              <w:t>机关事业单位基本养老保险缴费支出</w:t>
            </w:r>
          </w:p>
        </w:tc>
        <w:tc>
          <w:tcPr>
            <w:tcW w:w="929" w:type="pct"/>
            <w:shd w:val="clear" w:color="000000" w:fill="FFFFFF"/>
            <w:vAlign w:val="center"/>
          </w:tcPr>
          <w:p w14:paraId="03FF19A8">
            <w:pPr>
              <w:spacing w:line="240" w:lineRule="auto"/>
              <w:ind w:firstLine="0" w:firstLineChars="0"/>
              <w:jc w:val="center"/>
              <w:rPr>
                <w:rFonts w:eastAsia="宋体" w:cs="Times New Roman"/>
                <w:sz w:val="20"/>
                <w:szCs w:val="20"/>
              </w:rPr>
            </w:pPr>
            <w:r>
              <w:rPr>
                <w:rFonts w:eastAsia="宋体" w:cs="Times New Roman"/>
                <w:sz w:val="20"/>
                <w:szCs w:val="20"/>
              </w:rPr>
              <w:t>148.98</w:t>
            </w:r>
          </w:p>
        </w:tc>
        <w:tc>
          <w:tcPr>
            <w:tcW w:w="742" w:type="pct"/>
            <w:shd w:val="clear" w:color="000000" w:fill="FFFFFF"/>
            <w:vAlign w:val="center"/>
          </w:tcPr>
          <w:p w14:paraId="6C87EAF1">
            <w:pPr>
              <w:spacing w:line="240" w:lineRule="auto"/>
              <w:ind w:firstLine="0" w:firstLineChars="0"/>
              <w:jc w:val="center"/>
              <w:rPr>
                <w:rFonts w:eastAsia="宋体" w:cs="Times New Roman"/>
                <w:sz w:val="20"/>
                <w:szCs w:val="20"/>
              </w:rPr>
            </w:pPr>
            <w:r>
              <w:rPr>
                <w:rFonts w:eastAsia="宋体" w:cs="Times New Roman"/>
                <w:sz w:val="20"/>
                <w:szCs w:val="20"/>
              </w:rPr>
              <w:t>148.98</w:t>
            </w:r>
          </w:p>
        </w:tc>
      </w:tr>
      <w:tr w14:paraId="0ECE0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668" w:type="pct"/>
            <w:vMerge w:val="continue"/>
            <w:shd w:val="clear" w:color="auto" w:fill="auto"/>
            <w:noWrap/>
            <w:vAlign w:val="center"/>
          </w:tcPr>
          <w:p w14:paraId="660AF76F">
            <w:pPr>
              <w:spacing w:line="240" w:lineRule="auto"/>
              <w:ind w:firstLine="0" w:firstLineChars="0"/>
              <w:jc w:val="center"/>
              <w:rPr>
                <w:rFonts w:eastAsia="宋体" w:cs="Times New Roman"/>
                <w:b/>
                <w:bCs/>
                <w:sz w:val="20"/>
                <w:szCs w:val="20"/>
              </w:rPr>
            </w:pPr>
          </w:p>
        </w:tc>
        <w:tc>
          <w:tcPr>
            <w:tcW w:w="533" w:type="pct"/>
            <w:vMerge w:val="continue"/>
            <w:shd w:val="clear" w:color="000000" w:fill="FFFFFF"/>
            <w:vAlign w:val="center"/>
          </w:tcPr>
          <w:p w14:paraId="4DC34A6B">
            <w:pPr>
              <w:spacing w:line="240" w:lineRule="auto"/>
              <w:ind w:firstLine="0" w:firstLineChars="0"/>
              <w:jc w:val="center"/>
              <w:rPr>
                <w:rFonts w:eastAsia="宋体" w:cs="Times New Roman"/>
                <w:sz w:val="20"/>
                <w:szCs w:val="20"/>
              </w:rPr>
            </w:pPr>
          </w:p>
        </w:tc>
        <w:tc>
          <w:tcPr>
            <w:tcW w:w="677" w:type="pct"/>
            <w:vMerge w:val="continue"/>
            <w:shd w:val="clear" w:color="000000" w:fill="FFFFFF"/>
            <w:vAlign w:val="center"/>
          </w:tcPr>
          <w:p w14:paraId="580AD6B1">
            <w:pPr>
              <w:spacing w:line="240" w:lineRule="auto"/>
              <w:ind w:firstLine="0" w:firstLineChars="0"/>
              <w:jc w:val="center"/>
              <w:rPr>
                <w:rFonts w:eastAsia="宋体" w:cs="Times New Roman"/>
                <w:sz w:val="20"/>
                <w:szCs w:val="20"/>
              </w:rPr>
            </w:pPr>
          </w:p>
        </w:tc>
        <w:tc>
          <w:tcPr>
            <w:tcW w:w="1452" w:type="pct"/>
            <w:shd w:val="clear" w:color="000000" w:fill="FFFFFF"/>
            <w:vAlign w:val="center"/>
          </w:tcPr>
          <w:p w14:paraId="32DB2CC0">
            <w:pPr>
              <w:spacing w:line="240" w:lineRule="auto"/>
              <w:ind w:firstLine="0" w:firstLineChars="0"/>
              <w:jc w:val="center"/>
              <w:rPr>
                <w:rFonts w:eastAsia="宋体" w:cs="Times New Roman"/>
                <w:sz w:val="20"/>
                <w:szCs w:val="20"/>
              </w:rPr>
            </w:pPr>
            <w:r>
              <w:rPr>
                <w:rFonts w:eastAsia="宋体" w:cs="Times New Roman"/>
                <w:sz w:val="20"/>
                <w:szCs w:val="20"/>
              </w:rPr>
              <w:t>机关事业单位职业年金缴费支出</w:t>
            </w:r>
          </w:p>
        </w:tc>
        <w:tc>
          <w:tcPr>
            <w:tcW w:w="929" w:type="pct"/>
            <w:shd w:val="clear" w:color="000000" w:fill="FFFFFF"/>
            <w:vAlign w:val="center"/>
          </w:tcPr>
          <w:p w14:paraId="1D50A389">
            <w:pPr>
              <w:spacing w:line="240" w:lineRule="auto"/>
              <w:ind w:firstLine="0" w:firstLineChars="0"/>
              <w:jc w:val="center"/>
              <w:rPr>
                <w:rFonts w:eastAsia="宋体" w:cs="Times New Roman"/>
                <w:sz w:val="20"/>
                <w:szCs w:val="20"/>
              </w:rPr>
            </w:pPr>
            <w:r>
              <w:rPr>
                <w:rFonts w:eastAsia="宋体" w:cs="Times New Roman"/>
                <w:sz w:val="20"/>
                <w:szCs w:val="20"/>
              </w:rPr>
              <w:t>74.16</w:t>
            </w:r>
          </w:p>
        </w:tc>
        <w:tc>
          <w:tcPr>
            <w:tcW w:w="742" w:type="pct"/>
            <w:shd w:val="clear" w:color="000000" w:fill="FFFFFF"/>
            <w:vAlign w:val="center"/>
          </w:tcPr>
          <w:p w14:paraId="399E73D2">
            <w:pPr>
              <w:spacing w:line="240" w:lineRule="auto"/>
              <w:ind w:firstLine="0" w:firstLineChars="0"/>
              <w:jc w:val="center"/>
              <w:rPr>
                <w:rFonts w:eastAsia="宋体" w:cs="Times New Roman"/>
                <w:sz w:val="20"/>
                <w:szCs w:val="20"/>
              </w:rPr>
            </w:pPr>
            <w:r>
              <w:rPr>
                <w:rFonts w:eastAsia="宋体" w:cs="Times New Roman"/>
                <w:sz w:val="20"/>
                <w:szCs w:val="20"/>
              </w:rPr>
              <w:t>74.16</w:t>
            </w:r>
          </w:p>
        </w:tc>
      </w:tr>
      <w:tr w14:paraId="339B9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668" w:type="pct"/>
            <w:vMerge w:val="continue"/>
            <w:shd w:val="clear" w:color="auto" w:fill="auto"/>
            <w:noWrap/>
            <w:vAlign w:val="center"/>
          </w:tcPr>
          <w:p w14:paraId="115C730C">
            <w:pPr>
              <w:spacing w:line="240" w:lineRule="auto"/>
              <w:ind w:firstLine="0" w:firstLineChars="0"/>
              <w:jc w:val="center"/>
              <w:rPr>
                <w:rFonts w:eastAsia="宋体" w:cs="Times New Roman"/>
                <w:b/>
                <w:bCs/>
                <w:sz w:val="20"/>
                <w:szCs w:val="20"/>
              </w:rPr>
            </w:pPr>
          </w:p>
        </w:tc>
        <w:tc>
          <w:tcPr>
            <w:tcW w:w="533" w:type="pct"/>
            <w:vMerge w:val="continue"/>
            <w:shd w:val="clear" w:color="000000" w:fill="FFFFFF"/>
            <w:vAlign w:val="center"/>
          </w:tcPr>
          <w:p w14:paraId="22B64317">
            <w:pPr>
              <w:spacing w:line="240" w:lineRule="auto"/>
              <w:ind w:firstLine="0" w:firstLineChars="0"/>
              <w:jc w:val="center"/>
              <w:rPr>
                <w:rFonts w:eastAsia="宋体" w:cs="Times New Roman"/>
                <w:sz w:val="20"/>
                <w:szCs w:val="20"/>
              </w:rPr>
            </w:pPr>
          </w:p>
        </w:tc>
        <w:tc>
          <w:tcPr>
            <w:tcW w:w="677" w:type="pct"/>
            <w:vMerge w:val="continue"/>
            <w:shd w:val="clear" w:color="000000" w:fill="FFFFFF"/>
            <w:vAlign w:val="center"/>
          </w:tcPr>
          <w:p w14:paraId="453897E1">
            <w:pPr>
              <w:spacing w:line="240" w:lineRule="auto"/>
              <w:ind w:firstLine="0" w:firstLineChars="0"/>
              <w:jc w:val="center"/>
              <w:rPr>
                <w:rFonts w:eastAsia="宋体" w:cs="Times New Roman"/>
                <w:sz w:val="20"/>
                <w:szCs w:val="20"/>
              </w:rPr>
            </w:pPr>
          </w:p>
        </w:tc>
        <w:tc>
          <w:tcPr>
            <w:tcW w:w="1452" w:type="pct"/>
            <w:shd w:val="clear" w:color="000000" w:fill="FFFFFF"/>
            <w:vAlign w:val="center"/>
          </w:tcPr>
          <w:p w14:paraId="27277A5E">
            <w:pPr>
              <w:spacing w:line="240" w:lineRule="auto"/>
              <w:ind w:firstLine="0" w:firstLineChars="0"/>
              <w:jc w:val="center"/>
              <w:rPr>
                <w:rFonts w:eastAsia="宋体" w:cs="Times New Roman"/>
                <w:sz w:val="20"/>
                <w:szCs w:val="20"/>
              </w:rPr>
            </w:pPr>
            <w:r>
              <w:rPr>
                <w:rFonts w:eastAsia="宋体" w:cs="Times New Roman"/>
                <w:sz w:val="20"/>
                <w:szCs w:val="20"/>
              </w:rPr>
              <w:t>其他行政事业单位养老支出</w:t>
            </w:r>
          </w:p>
        </w:tc>
        <w:tc>
          <w:tcPr>
            <w:tcW w:w="929" w:type="pct"/>
            <w:shd w:val="clear" w:color="000000" w:fill="FFFFFF"/>
            <w:vAlign w:val="center"/>
          </w:tcPr>
          <w:p w14:paraId="308E23A5">
            <w:pPr>
              <w:spacing w:line="240" w:lineRule="auto"/>
              <w:ind w:firstLine="0" w:firstLineChars="0"/>
              <w:jc w:val="center"/>
              <w:rPr>
                <w:rFonts w:eastAsia="宋体" w:cs="Times New Roman"/>
                <w:sz w:val="20"/>
                <w:szCs w:val="20"/>
              </w:rPr>
            </w:pPr>
            <w:r>
              <w:rPr>
                <w:rFonts w:eastAsia="宋体" w:cs="Times New Roman"/>
                <w:sz w:val="20"/>
                <w:szCs w:val="20"/>
              </w:rPr>
              <w:t>264.98</w:t>
            </w:r>
          </w:p>
        </w:tc>
        <w:tc>
          <w:tcPr>
            <w:tcW w:w="742" w:type="pct"/>
            <w:shd w:val="clear" w:color="000000" w:fill="FFFFFF"/>
            <w:vAlign w:val="center"/>
          </w:tcPr>
          <w:p w14:paraId="57FA2CF5">
            <w:pPr>
              <w:spacing w:line="240" w:lineRule="auto"/>
              <w:ind w:firstLine="0" w:firstLineChars="0"/>
              <w:jc w:val="center"/>
              <w:rPr>
                <w:rFonts w:eastAsia="宋体" w:cs="Times New Roman"/>
                <w:sz w:val="20"/>
                <w:szCs w:val="20"/>
              </w:rPr>
            </w:pPr>
            <w:r>
              <w:rPr>
                <w:rFonts w:eastAsia="宋体" w:cs="Times New Roman"/>
                <w:sz w:val="20"/>
                <w:szCs w:val="20"/>
              </w:rPr>
              <w:t>264.98</w:t>
            </w:r>
          </w:p>
        </w:tc>
      </w:tr>
      <w:tr w14:paraId="59354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668" w:type="pct"/>
            <w:vMerge w:val="continue"/>
            <w:shd w:val="clear" w:color="auto" w:fill="auto"/>
            <w:noWrap/>
            <w:vAlign w:val="center"/>
          </w:tcPr>
          <w:p w14:paraId="744E4B6B">
            <w:pPr>
              <w:spacing w:line="240" w:lineRule="auto"/>
              <w:ind w:firstLine="0" w:firstLineChars="0"/>
              <w:jc w:val="center"/>
              <w:rPr>
                <w:rFonts w:eastAsia="宋体" w:cs="Times New Roman"/>
                <w:b/>
                <w:bCs/>
                <w:sz w:val="20"/>
                <w:szCs w:val="20"/>
              </w:rPr>
            </w:pPr>
          </w:p>
        </w:tc>
        <w:tc>
          <w:tcPr>
            <w:tcW w:w="533" w:type="pct"/>
            <w:vMerge w:val="continue"/>
            <w:shd w:val="clear" w:color="000000" w:fill="FFFFFF"/>
            <w:vAlign w:val="center"/>
          </w:tcPr>
          <w:p w14:paraId="7AB040CD">
            <w:pPr>
              <w:spacing w:line="240" w:lineRule="auto"/>
              <w:ind w:firstLine="0" w:firstLineChars="0"/>
              <w:jc w:val="center"/>
              <w:rPr>
                <w:rFonts w:eastAsia="宋体" w:cs="Times New Roman"/>
                <w:sz w:val="20"/>
                <w:szCs w:val="20"/>
              </w:rPr>
            </w:pPr>
          </w:p>
        </w:tc>
        <w:tc>
          <w:tcPr>
            <w:tcW w:w="677" w:type="pct"/>
            <w:shd w:val="clear" w:color="000000" w:fill="FFFFFF"/>
            <w:vAlign w:val="center"/>
          </w:tcPr>
          <w:p w14:paraId="56B2FF45">
            <w:pPr>
              <w:spacing w:line="240" w:lineRule="auto"/>
              <w:ind w:firstLine="0" w:firstLineChars="0"/>
              <w:jc w:val="center"/>
              <w:rPr>
                <w:rFonts w:eastAsia="宋体" w:cs="Times New Roman"/>
                <w:sz w:val="20"/>
                <w:szCs w:val="20"/>
              </w:rPr>
            </w:pPr>
            <w:r>
              <w:rPr>
                <w:rFonts w:eastAsia="宋体" w:cs="Times New Roman"/>
                <w:sz w:val="20"/>
                <w:szCs w:val="20"/>
              </w:rPr>
              <w:t>其它社会保障和就业支出</w:t>
            </w:r>
          </w:p>
        </w:tc>
        <w:tc>
          <w:tcPr>
            <w:tcW w:w="1452" w:type="pct"/>
            <w:shd w:val="clear" w:color="000000" w:fill="FFFFFF"/>
            <w:vAlign w:val="center"/>
          </w:tcPr>
          <w:p w14:paraId="2BF7CB37">
            <w:pPr>
              <w:spacing w:line="240" w:lineRule="auto"/>
              <w:ind w:firstLine="0" w:firstLineChars="0"/>
              <w:jc w:val="center"/>
              <w:rPr>
                <w:rFonts w:eastAsia="宋体" w:cs="Times New Roman"/>
                <w:sz w:val="20"/>
                <w:szCs w:val="20"/>
              </w:rPr>
            </w:pPr>
            <w:r>
              <w:rPr>
                <w:rFonts w:eastAsia="宋体" w:cs="Times New Roman"/>
                <w:sz w:val="20"/>
                <w:szCs w:val="20"/>
              </w:rPr>
              <w:t>其它社会保障和就业支出</w:t>
            </w:r>
          </w:p>
        </w:tc>
        <w:tc>
          <w:tcPr>
            <w:tcW w:w="929" w:type="pct"/>
            <w:shd w:val="clear" w:color="000000" w:fill="FFFFFF"/>
            <w:vAlign w:val="center"/>
          </w:tcPr>
          <w:p w14:paraId="5C3BCBF4">
            <w:pPr>
              <w:spacing w:line="240" w:lineRule="auto"/>
              <w:ind w:firstLine="0" w:firstLineChars="0"/>
              <w:jc w:val="center"/>
              <w:rPr>
                <w:rFonts w:eastAsia="宋体" w:cs="Times New Roman"/>
                <w:sz w:val="20"/>
                <w:szCs w:val="20"/>
              </w:rPr>
            </w:pPr>
            <w:r>
              <w:rPr>
                <w:rFonts w:eastAsia="宋体" w:cs="Times New Roman"/>
                <w:sz w:val="20"/>
                <w:szCs w:val="20"/>
              </w:rPr>
              <w:t>5.26</w:t>
            </w:r>
          </w:p>
        </w:tc>
        <w:tc>
          <w:tcPr>
            <w:tcW w:w="742" w:type="pct"/>
            <w:shd w:val="clear" w:color="000000" w:fill="FFFFFF"/>
            <w:vAlign w:val="center"/>
          </w:tcPr>
          <w:p w14:paraId="7D0C3AB6">
            <w:pPr>
              <w:spacing w:line="240" w:lineRule="auto"/>
              <w:ind w:firstLine="0" w:firstLineChars="0"/>
              <w:jc w:val="center"/>
              <w:rPr>
                <w:rFonts w:eastAsia="宋体" w:cs="Times New Roman"/>
                <w:sz w:val="20"/>
                <w:szCs w:val="20"/>
              </w:rPr>
            </w:pPr>
            <w:r>
              <w:rPr>
                <w:rFonts w:eastAsia="宋体" w:cs="Times New Roman"/>
                <w:sz w:val="20"/>
                <w:szCs w:val="20"/>
              </w:rPr>
              <w:t>5.26</w:t>
            </w:r>
          </w:p>
        </w:tc>
      </w:tr>
      <w:tr w14:paraId="172BC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68" w:type="pct"/>
            <w:vMerge w:val="continue"/>
            <w:vAlign w:val="center"/>
          </w:tcPr>
          <w:p w14:paraId="6C09104C">
            <w:pPr>
              <w:spacing w:line="240" w:lineRule="auto"/>
              <w:ind w:firstLine="0" w:firstLineChars="0"/>
              <w:jc w:val="center"/>
              <w:rPr>
                <w:rFonts w:eastAsia="宋体" w:cs="Times New Roman"/>
                <w:b/>
                <w:bCs/>
                <w:sz w:val="20"/>
                <w:szCs w:val="20"/>
              </w:rPr>
            </w:pPr>
          </w:p>
        </w:tc>
        <w:tc>
          <w:tcPr>
            <w:tcW w:w="533" w:type="pct"/>
            <w:vMerge w:val="restart"/>
            <w:shd w:val="clear" w:color="000000" w:fill="FFFFFF"/>
            <w:vAlign w:val="center"/>
          </w:tcPr>
          <w:p w14:paraId="32C331A4">
            <w:pPr>
              <w:spacing w:line="240" w:lineRule="auto"/>
              <w:ind w:firstLine="0" w:firstLineChars="0"/>
              <w:jc w:val="center"/>
              <w:rPr>
                <w:rFonts w:eastAsia="宋体" w:cs="Times New Roman"/>
                <w:sz w:val="20"/>
                <w:szCs w:val="20"/>
              </w:rPr>
            </w:pPr>
            <w:r>
              <w:rPr>
                <w:rFonts w:eastAsia="宋体" w:cs="Times New Roman"/>
                <w:sz w:val="20"/>
                <w:szCs w:val="20"/>
              </w:rPr>
              <w:t>卫生健康支出</w:t>
            </w:r>
          </w:p>
        </w:tc>
        <w:tc>
          <w:tcPr>
            <w:tcW w:w="677" w:type="pct"/>
            <w:vMerge w:val="restart"/>
            <w:shd w:val="clear" w:color="000000" w:fill="FFFFFF"/>
            <w:vAlign w:val="center"/>
          </w:tcPr>
          <w:p w14:paraId="05542823">
            <w:pPr>
              <w:spacing w:line="240" w:lineRule="auto"/>
              <w:ind w:firstLine="0" w:firstLineChars="0"/>
              <w:jc w:val="center"/>
              <w:rPr>
                <w:rFonts w:eastAsia="宋体" w:cs="Times New Roman"/>
                <w:sz w:val="20"/>
                <w:szCs w:val="20"/>
              </w:rPr>
            </w:pPr>
            <w:r>
              <w:rPr>
                <w:rFonts w:eastAsia="宋体" w:cs="Times New Roman"/>
                <w:sz w:val="20"/>
                <w:szCs w:val="20"/>
              </w:rPr>
              <w:t>行政事业单位医疗</w:t>
            </w:r>
          </w:p>
        </w:tc>
        <w:tc>
          <w:tcPr>
            <w:tcW w:w="1452" w:type="pct"/>
            <w:shd w:val="clear" w:color="000000" w:fill="FFFFFF"/>
            <w:vAlign w:val="center"/>
          </w:tcPr>
          <w:p w14:paraId="08948C1A">
            <w:pPr>
              <w:spacing w:line="240" w:lineRule="auto"/>
              <w:ind w:firstLine="0" w:firstLineChars="0"/>
              <w:jc w:val="center"/>
              <w:rPr>
                <w:rFonts w:eastAsia="宋体" w:cs="Times New Roman"/>
                <w:sz w:val="20"/>
                <w:szCs w:val="20"/>
              </w:rPr>
            </w:pPr>
            <w:r>
              <w:rPr>
                <w:rFonts w:eastAsia="宋体" w:cs="Times New Roman"/>
                <w:sz w:val="20"/>
                <w:szCs w:val="20"/>
              </w:rPr>
              <w:t>行政单位医疗</w:t>
            </w:r>
          </w:p>
        </w:tc>
        <w:tc>
          <w:tcPr>
            <w:tcW w:w="929" w:type="pct"/>
            <w:shd w:val="clear" w:color="000000" w:fill="FFFFFF"/>
            <w:vAlign w:val="center"/>
          </w:tcPr>
          <w:p w14:paraId="45CF7C90">
            <w:pPr>
              <w:spacing w:line="240" w:lineRule="auto"/>
              <w:ind w:firstLine="0" w:firstLineChars="0"/>
              <w:jc w:val="center"/>
              <w:rPr>
                <w:rFonts w:eastAsia="宋体" w:cs="Times New Roman"/>
                <w:sz w:val="20"/>
                <w:szCs w:val="20"/>
              </w:rPr>
            </w:pPr>
            <w:r>
              <w:rPr>
                <w:rFonts w:eastAsia="宋体" w:cs="Times New Roman"/>
                <w:sz w:val="20"/>
                <w:szCs w:val="20"/>
              </w:rPr>
              <w:t>15.30</w:t>
            </w:r>
          </w:p>
        </w:tc>
        <w:tc>
          <w:tcPr>
            <w:tcW w:w="742" w:type="pct"/>
            <w:shd w:val="clear" w:color="000000" w:fill="FFFFFF"/>
            <w:vAlign w:val="center"/>
          </w:tcPr>
          <w:p w14:paraId="43EA8637">
            <w:pPr>
              <w:spacing w:line="240" w:lineRule="auto"/>
              <w:ind w:firstLine="0" w:firstLineChars="0"/>
              <w:jc w:val="center"/>
              <w:rPr>
                <w:rFonts w:eastAsia="宋体" w:cs="Times New Roman"/>
                <w:sz w:val="20"/>
                <w:szCs w:val="20"/>
              </w:rPr>
            </w:pPr>
            <w:r>
              <w:rPr>
                <w:rFonts w:eastAsia="宋体" w:cs="Times New Roman"/>
                <w:sz w:val="20"/>
                <w:szCs w:val="20"/>
              </w:rPr>
              <w:t>15.30</w:t>
            </w:r>
          </w:p>
        </w:tc>
      </w:tr>
      <w:tr w14:paraId="7E8E0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68" w:type="pct"/>
            <w:vMerge w:val="continue"/>
            <w:vAlign w:val="center"/>
          </w:tcPr>
          <w:p w14:paraId="057ED8E5">
            <w:pPr>
              <w:spacing w:line="240" w:lineRule="auto"/>
              <w:ind w:firstLine="0" w:firstLineChars="0"/>
              <w:jc w:val="center"/>
              <w:rPr>
                <w:rFonts w:eastAsia="宋体" w:cs="Times New Roman"/>
                <w:b/>
                <w:bCs/>
                <w:sz w:val="20"/>
                <w:szCs w:val="20"/>
              </w:rPr>
            </w:pPr>
          </w:p>
        </w:tc>
        <w:tc>
          <w:tcPr>
            <w:tcW w:w="533" w:type="pct"/>
            <w:vMerge w:val="continue"/>
            <w:vAlign w:val="center"/>
          </w:tcPr>
          <w:p w14:paraId="6E538701">
            <w:pPr>
              <w:spacing w:line="240" w:lineRule="auto"/>
              <w:ind w:firstLine="0" w:firstLineChars="0"/>
              <w:jc w:val="center"/>
              <w:rPr>
                <w:rFonts w:eastAsia="宋体" w:cs="Times New Roman"/>
                <w:sz w:val="20"/>
                <w:szCs w:val="20"/>
              </w:rPr>
            </w:pPr>
          </w:p>
        </w:tc>
        <w:tc>
          <w:tcPr>
            <w:tcW w:w="677" w:type="pct"/>
            <w:vMerge w:val="continue"/>
            <w:shd w:val="clear" w:color="000000" w:fill="FFFFFF"/>
            <w:vAlign w:val="center"/>
          </w:tcPr>
          <w:p w14:paraId="156F2BF3">
            <w:pPr>
              <w:spacing w:line="240" w:lineRule="auto"/>
              <w:ind w:firstLine="0" w:firstLineChars="0"/>
              <w:jc w:val="center"/>
              <w:rPr>
                <w:rFonts w:eastAsia="宋体" w:cs="Times New Roman"/>
                <w:sz w:val="20"/>
                <w:szCs w:val="20"/>
              </w:rPr>
            </w:pPr>
          </w:p>
        </w:tc>
        <w:tc>
          <w:tcPr>
            <w:tcW w:w="1452" w:type="pct"/>
            <w:shd w:val="clear" w:color="000000" w:fill="FFFFFF"/>
            <w:vAlign w:val="center"/>
          </w:tcPr>
          <w:p w14:paraId="64F5C30C">
            <w:pPr>
              <w:spacing w:line="240" w:lineRule="auto"/>
              <w:ind w:firstLine="0" w:firstLineChars="0"/>
              <w:jc w:val="center"/>
              <w:rPr>
                <w:rFonts w:eastAsia="宋体" w:cs="Times New Roman"/>
                <w:sz w:val="20"/>
                <w:szCs w:val="20"/>
              </w:rPr>
            </w:pPr>
            <w:r>
              <w:rPr>
                <w:rFonts w:eastAsia="宋体" w:cs="Times New Roman"/>
                <w:sz w:val="20"/>
                <w:szCs w:val="20"/>
              </w:rPr>
              <w:t>事业单位医疗</w:t>
            </w:r>
          </w:p>
        </w:tc>
        <w:tc>
          <w:tcPr>
            <w:tcW w:w="929" w:type="pct"/>
            <w:shd w:val="clear" w:color="000000" w:fill="FFFFFF"/>
            <w:vAlign w:val="center"/>
          </w:tcPr>
          <w:p w14:paraId="43487EEC">
            <w:pPr>
              <w:spacing w:line="240" w:lineRule="auto"/>
              <w:ind w:firstLine="0" w:firstLineChars="0"/>
              <w:jc w:val="center"/>
              <w:rPr>
                <w:rFonts w:eastAsia="宋体" w:cs="Times New Roman"/>
                <w:sz w:val="20"/>
                <w:szCs w:val="20"/>
              </w:rPr>
            </w:pPr>
            <w:r>
              <w:rPr>
                <w:rFonts w:eastAsia="宋体" w:cs="Times New Roman"/>
                <w:sz w:val="20"/>
                <w:szCs w:val="20"/>
              </w:rPr>
              <w:t>46.45</w:t>
            </w:r>
          </w:p>
        </w:tc>
        <w:tc>
          <w:tcPr>
            <w:tcW w:w="742" w:type="pct"/>
            <w:shd w:val="clear" w:color="000000" w:fill="FFFFFF"/>
            <w:vAlign w:val="center"/>
          </w:tcPr>
          <w:p w14:paraId="4F39FC39">
            <w:pPr>
              <w:spacing w:line="240" w:lineRule="auto"/>
              <w:ind w:firstLine="0" w:firstLineChars="0"/>
              <w:jc w:val="center"/>
              <w:rPr>
                <w:rFonts w:eastAsia="宋体" w:cs="Times New Roman"/>
                <w:sz w:val="20"/>
                <w:szCs w:val="20"/>
              </w:rPr>
            </w:pPr>
            <w:r>
              <w:rPr>
                <w:rFonts w:eastAsia="宋体" w:cs="Times New Roman"/>
                <w:sz w:val="20"/>
                <w:szCs w:val="20"/>
              </w:rPr>
              <w:t>46.45</w:t>
            </w:r>
          </w:p>
        </w:tc>
      </w:tr>
      <w:tr w14:paraId="24B6C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68" w:type="pct"/>
            <w:vMerge w:val="continue"/>
            <w:vAlign w:val="center"/>
          </w:tcPr>
          <w:p w14:paraId="294BBA43">
            <w:pPr>
              <w:spacing w:line="240" w:lineRule="auto"/>
              <w:ind w:firstLine="0" w:firstLineChars="0"/>
              <w:jc w:val="center"/>
              <w:rPr>
                <w:rFonts w:eastAsia="宋体" w:cs="Times New Roman"/>
                <w:b/>
                <w:bCs/>
                <w:sz w:val="20"/>
                <w:szCs w:val="20"/>
              </w:rPr>
            </w:pPr>
          </w:p>
        </w:tc>
        <w:tc>
          <w:tcPr>
            <w:tcW w:w="533" w:type="pct"/>
            <w:vMerge w:val="restart"/>
            <w:shd w:val="clear" w:color="000000" w:fill="FFFFFF"/>
            <w:vAlign w:val="center"/>
          </w:tcPr>
          <w:p w14:paraId="593563E5">
            <w:pPr>
              <w:spacing w:line="240" w:lineRule="auto"/>
              <w:ind w:firstLine="0" w:firstLineChars="0"/>
              <w:jc w:val="center"/>
              <w:rPr>
                <w:rFonts w:eastAsia="宋体" w:cs="Times New Roman"/>
                <w:sz w:val="20"/>
                <w:szCs w:val="20"/>
              </w:rPr>
            </w:pPr>
            <w:r>
              <w:rPr>
                <w:rFonts w:eastAsia="宋体" w:cs="Times New Roman"/>
                <w:sz w:val="20"/>
                <w:szCs w:val="20"/>
              </w:rPr>
              <w:t>农业水支出</w:t>
            </w:r>
          </w:p>
        </w:tc>
        <w:tc>
          <w:tcPr>
            <w:tcW w:w="677" w:type="pct"/>
            <w:shd w:val="clear" w:color="000000" w:fill="FFFFFF"/>
            <w:vAlign w:val="center"/>
          </w:tcPr>
          <w:p w14:paraId="704633F0">
            <w:pPr>
              <w:spacing w:line="240" w:lineRule="auto"/>
              <w:ind w:firstLine="0" w:firstLineChars="0"/>
              <w:jc w:val="center"/>
              <w:rPr>
                <w:rFonts w:eastAsia="宋体" w:cs="Times New Roman"/>
                <w:sz w:val="20"/>
                <w:szCs w:val="20"/>
              </w:rPr>
            </w:pPr>
            <w:r>
              <w:rPr>
                <w:rFonts w:eastAsia="宋体" w:cs="Times New Roman"/>
                <w:sz w:val="20"/>
                <w:szCs w:val="20"/>
              </w:rPr>
              <w:t>农业农村</w:t>
            </w:r>
          </w:p>
        </w:tc>
        <w:tc>
          <w:tcPr>
            <w:tcW w:w="1452" w:type="pct"/>
            <w:shd w:val="clear" w:color="000000" w:fill="FFFFFF"/>
            <w:vAlign w:val="center"/>
          </w:tcPr>
          <w:p w14:paraId="50435FAB">
            <w:pPr>
              <w:spacing w:line="240" w:lineRule="auto"/>
              <w:ind w:firstLine="0" w:firstLineChars="0"/>
              <w:jc w:val="center"/>
              <w:rPr>
                <w:rFonts w:eastAsia="宋体" w:cs="Times New Roman"/>
                <w:sz w:val="20"/>
                <w:szCs w:val="20"/>
              </w:rPr>
            </w:pPr>
            <w:r>
              <w:rPr>
                <w:rFonts w:eastAsia="宋体" w:cs="Times New Roman"/>
                <w:sz w:val="20"/>
                <w:szCs w:val="20"/>
              </w:rPr>
              <w:t>行政运行</w:t>
            </w:r>
          </w:p>
        </w:tc>
        <w:tc>
          <w:tcPr>
            <w:tcW w:w="929" w:type="pct"/>
            <w:shd w:val="clear" w:color="000000" w:fill="FFFFFF"/>
            <w:vAlign w:val="center"/>
          </w:tcPr>
          <w:p w14:paraId="43BA0919">
            <w:pPr>
              <w:spacing w:line="240" w:lineRule="auto"/>
              <w:ind w:firstLine="0" w:firstLineChars="0"/>
              <w:jc w:val="center"/>
              <w:rPr>
                <w:rFonts w:eastAsia="宋体" w:cs="Times New Roman"/>
                <w:sz w:val="20"/>
                <w:szCs w:val="20"/>
              </w:rPr>
            </w:pPr>
            <w:r>
              <w:rPr>
                <w:rFonts w:eastAsia="宋体" w:cs="Times New Roman"/>
                <w:sz w:val="20"/>
                <w:szCs w:val="20"/>
              </w:rPr>
              <w:t>418.92</w:t>
            </w:r>
          </w:p>
        </w:tc>
        <w:tc>
          <w:tcPr>
            <w:tcW w:w="742" w:type="pct"/>
            <w:shd w:val="clear" w:color="000000" w:fill="FFFFFF"/>
            <w:vAlign w:val="center"/>
          </w:tcPr>
          <w:p w14:paraId="52FBE616">
            <w:pPr>
              <w:spacing w:line="240" w:lineRule="auto"/>
              <w:ind w:firstLine="0" w:firstLineChars="0"/>
              <w:jc w:val="center"/>
              <w:rPr>
                <w:rFonts w:eastAsia="宋体" w:cs="Times New Roman"/>
                <w:sz w:val="20"/>
                <w:szCs w:val="20"/>
              </w:rPr>
            </w:pPr>
            <w:r>
              <w:rPr>
                <w:rFonts w:eastAsia="宋体" w:cs="Times New Roman"/>
                <w:sz w:val="20"/>
                <w:szCs w:val="20"/>
              </w:rPr>
              <w:t>418.92</w:t>
            </w:r>
          </w:p>
        </w:tc>
      </w:tr>
      <w:tr w14:paraId="3C4A4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68" w:type="pct"/>
            <w:vMerge w:val="continue"/>
            <w:vAlign w:val="center"/>
          </w:tcPr>
          <w:p w14:paraId="137C1D42">
            <w:pPr>
              <w:spacing w:line="240" w:lineRule="auto"/>
              <w:ind w:firstLine="0" w:firstLineChars="0"/>
              <w:jc w:val="center"/>
              <w:rPr>
                <w:rFonts w:eastAsia="宋体" w:cs="Times New Roman"/>
                <w:b/>
                <w:bCs/>
                <w:sz w:val="20"/>
                <w:szCs w:val="20"/>
              </w:rPr>
            </w:pPr>
          </w:p>
        </w:tc>
        <w:tc>
          <w:tcPr>
            <w:tcW w:w="533" w:type="pct"/>
            <w:vMerge w:val="continue"/>
            <w:vAlign w:val="center"/>
          </w:tcPr>
          <w:p w14:paraId="1B7B1750">
            <w:pPr>
              <w:spacing w:line="240" w:lineRule="auto"/>
              <w:ind w:firstLine="0" w:firstLineChars="0"/>
              <w:jc w:val="center"/>
              <w:rPr>
                <w:rFonts w:eastAsia="宋体" w:cs="Times New Roman"/>
                <w:sz w:val="20"/>
                <w:szCs w:val="20"/>
              </w:rPr>
            </w:pPr>
          </w:p>
        </w:tc>
        <w:tc>
          <w:tcPr>
            <w:tcW w:w="677" w:type="pct"/>
            <w:shd w:val="clear" w:color="000000" w:fill="FFFFFF"/>
            <w:vAlign w:val="center"/>
          </w:tcPr>
          <w:p w14:paraId="5C3A2397">
            <w:pPr>
              <w:spacing w:line="240" w:lineRule="auto"/>
              <w:ind w:firstLine="0" w:firstLineChars="0"/>
              <w:jc w:val="center"/>
              <w:rPr>
                <w:rFonts w:eastAsia="宋体" w:cs="Times New Roman"/>
                <w:sz w:val="20"/>
                <w:szCs w:val="20"/>
              </w:rPr>
            </w:pPr>
            <w:r>
              <w:rPr>
                <w:rFonts w:eastAsia="宋体" w:cs="Times New Roman"/>
                <w:sz w:val="20"/>
                <w:szCs w:val="20"/>
              </w:rPr>
              <w:t>林业和草原</w:t>
            </w:r>
          </w:p>
        </w:tc>
        <w:tc>
          <w:tcPr>
            <w:tcW w:w="1452" w:type="pct"/>
            <w:shd w:val="clear" w:color="000000" w:fill="FFFFFF"/>
            <w:vAlign w:val="center"/>
          </w:tcPr>
          <w:p w14:paraId="3D74354B">
            <w:pPr>
              <w:spacing w:line="240" w:lineRule="auto"/>
              <w:ind w:firstLine="0" w:firstLineChars="0"/>
              <w:jc w:val="center"/>
              <w:rPr>
                <w:rFonts w:eastAsia="宋体" w:cs="Times New Roman"/>
                <w:sz w:val="20"/>
                <w:szCs w:val="20"/>
              </w:rPr>
            </w:pPr>
            <w:r>
              <w:rPr>
                <w:rFonts w:eastAsia="宋体" w:cs="Times New Roman"/>
                <w:sz w:val="20"/>
                <w:szCs w:val="20"/>
              </w:rPr>
              <w:t>事业机构</w:t>
            </w:r>
          </w:p>
        </w:tc>
        <w:tc>
          <w:tcPr>
            <w:tcW w:w="929" w:type="pct"/>
            <w:shd w:val="clear" w:color="000000" w:fill="FFFFFF"/>
            <w:vAlign w:val="center"/>
          </w:tcPr>
          <w:p w14:paraId="2E2D4521">
            <w:pPr>
              <w:spacing w:line="240" w:lineRule="auto"/>
              <w:ind w:firstLine="0" w:firstLineChars="0"/>
              <w:jc w:val="center"/>
              <w:rPr>
                <w:rFonts w:eastAsia="宋体" w:cs="Times New Roman"/>
                <w:sz w:val="20"/>
                <w:szCs w:val="20"/>
              </w:rPr>
            </w:pPr>
            <w:r>
              <w:rPr>
                <w:rFonts w:eastAsia="宋体" w:cs="Times New Roman"/>
                <w:sz w:val="20"/>
                <w:szCs w:val="20"/>
              </w:rPr>
              <w:t>345.67</w:t>
            </w:r>
          </w:p>
        </w:tc>
        <w:tc>
          <w:tcPr>
            <w:tcW w:w="742" w:type="pct"/>
            <w:shd w:val="clear" w:color="000000" w:fill="FFFFFF"/>
            <w:vAlign w:val="center"/>
          </w:tcPr>
          <w:p w14:paraId="19C1D663">
            <w:pPr>
              <w:spacing w:line="240" w:lineRule="auto"/>
              <w:ind w:firstLine="0" w:firstLineChars="0"/>
              <w:jc w:val="center"/>
              <w:rPr>
                <w:rFonts w:eastAsia="宋体" w:cs="Times New Roman"/>
                <w:sz w:val="20"/>
                <w:szCs w:val="20"/>
              </w:rPr>
            </w:pPr>
            <w:r>
              <w:rPr>
                <w:rFonts w:eastAsia="宋体" w:cs="Times New Roman"/>
                <w:sz w:val="20"/>
                <w:szCs w:val="20"/>
              </w:rPr>
              <w:t>345.67</w:t>
            </w:r>
          </w:p>
        </w:tc>
      </w:tr>
      <w:tr w14:paraId="75C85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68" w:type="pct"/>
            <w:vMerge w:val="continue"/>
            <w:vAlign w:val="center"/>
          </w:tcPr>
          <w:p w14:paraId="0997E0BC">
            <w:pPr>
              <w:spacing w:line="240" w:lineRule="auto"/>
              <w:ind w:firstLine="0" w:firstLineChars="0"/>
              <w:jc w:val="center"/>
              <w:rPr>
                <w:rFonts w:eastAsia="宋体" w:cs="Times New Roman"/>
                <w:b/>
                <w:bCs/>
                <w:sz w:val="20"/>
                <w:szCs w:val="20"/>
              </w:rPr>
            </w:pPr>
          </w:p>
        </w:tc>
        <w:tc>
          <w:tcPr>
            <w:tcW w:w="533" w:type="pct"/>
            <w:vMerge w:val="restart"/>
            <w:shd w:val="clear" w:color="000000" w:fill="FFFFFF"/>
            <w:vAlign w:val="center"/>
          </w:tcPr>
          <w:p w14:paraId="22953A4E">
            <w:pPr>
              <w:spacing w:line="240" w:lineRule="auto"/>
              <w:ind w:firstLine="0" w:firstLineChars="0"/>
              <w:jc w:val="center"/>
              <w:rPr>
                <w:rFonts w:eastAsia="宋体" w:cs="Times New Roman"/>
                <w:sz w:val="20"/>
                <w:szCs w:val="20"/>
              </w:rPr>
            </w:pPr>
            <w:r>
              <w:rPr>
                <w:rFonts w:eastAsia="宋体" w:cs="Times New Roman"/>
                <w:sz w:val="20"/>
                <w:szCs w:val="20"/>
              </w:rPr>
              <w:t>自然资源海洋气象等支出</w:t>
            </w:r>
          </w:p>
        </w:tc>
        <w:tc>
          <w:tcPr>
            <w:tcW w:w="677" w:type="pct"/>
            <w:vMerge w:val="restart"/>
            <w:shd w:val="clear" w:color="000000" w:fill="FFFFFF"/>
            <w:vAlign w:val="center"/>
          </w:tcPr>
          <w:p w14:paraId="51EA8A0B">
            <w:pPr>
              <w:spacing w:line="240" w:lineRule="auto"/>
              <w:ind w:firstLine="0" w:firstLineChars="0"/>
              <w:jc w:val="center"/>
              <w:rPr>
                <w:rFonts w:eastAsia="宋体" w:cs="Times New Roman"/>
                <w:sz w:val="20"/>
                <w:szCs w:val="20"/>
              </w:rPr>
            </w:pPr>
            <w:r>
              <w:rPr>
                <w:rFonts w:eastAsia="宋体" w:cs="Times New Roman"/>
                <w:sz w:val="20"/>
                <w:szCs w:val="20"/>
              </w:rPr>
              <w:t>自然资源事务</w:t>
            </w:r>
          </w:p>
        </w:tc>
        <w:tc>
          <w:tcPr>
            <w:tcW w:w="1452" w:type="pct"/>
            <w:shd w:val="clear" w:color="000000" w:fill="FFFFFF"/>
            <w:vAlign w:val="center"/>
          </w:tcPr>
          <w:p w14:paraId="2DBE9B51">
            <w:pPr>
              <w:spacing w:line="240" w:lineRule="auto"/>
              <w:ind w:firstLine="0" w:firstLineChars="0"/>
              <w:jc w:val="center"/>
              <w:rPr>
                <w:rFonts w:eastAsia="宋体" w:cs="Times New Roman"/>
                <w:sz w:val="20"/>
                <w:szCs w:val="20"/>
              </w:rPr>
            </w:pPr>
            <w:r>
              <w:rPr>
                <w:rFonts w:eastAsia="宋体" w:cs="Times New Roman"/>
                <w:sz w:val="20"/>
                <w:szCs w:val="20"/>
              </w:rPr>
              <w:t>行政运行</w:t>
            </w:r>
          </w:p>
        </w:tc>
        <w:tc>
          <w:tcPr>
            <w:tcW w:w="929" w:type="pct"/>
            <w:shd w:val="clear" w:color="000000" w:fill="FFFFFF"/>
            <w:vAlign w:val="center"/>
          </w:tcPr>
          <w:p w14:paraId="04594BAB">
            <w:pPr>
              <w:spacing w:line="240" w:lineRule="auto"/>
              <w:ind w:firstLine="0" w:firstLineChars="0"/>
              <w:jc w:val="center"/>
              <w:rPr>
                <w:rFonts w:eastAsia="宋体" w:cs="Times New Roman"/>
                <w:sz w:val="20"/>
                <w:szCs w:val="20"/>
              </w:rPr>
            </w:pPr>
            <w:r>
              <w:rPr>
                <w:rFonts w:eastAsia="宋体" w:cs="Times New Roman"/>
                <w:sz w:val="20"/>
                <w:szCs w:val="20"/>
              </w:rPr>
              <w:t>639.11</w:t>
            </w:r>
          </w:p>
        </w:tc>
        <w:tc>
          <w:tcPr>
            <w:tcW w:w="742" w:type="pct"/>
            <w:shd w:val="clear" w:color="000000" w:fill="FFFFFF"/>
            <w:vAlign w:val="center"/>
          </w:tcPr>
          <w:p w14:paraId="70B89F68">
            <w:pPr>
              <w:spacing w:line="240" w:lineRule="auto"/>
              <w:ind w:firstLine="0" w:firstLineChars="0"/>
              <w:jc w:val="center"/>
              <w:rPr>
                <w:rFonts w:eastAsia="宋体" w:cs="Times New Roman"/>
                <w:sz w:val="20"/>
                <w:szCs w:val="20"/>
              </w:rPr>
            </w:pPr>
            <w:r>
              <w:rPr>
                <w:rFonts w:eastAsia="宋体" w:cs="Times New Roman"/>
                <w:sz w:val="20"/>
                <w:szCs w:val="20"/>
              </w:rPr>
              <w:t>639.11</w:t>
            </w:r>
          </w:p>
        </w:tc>
      </w:tr>
      <w:tr w14:paraId="15899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68" w:type="pct"/>
            <w:vMerge w:val="continue"/>
            <w:vAlign w:val="center"/>
          </w:tcPr>
          <w:p w14:paraId="212A5762">
            <w:pPr>
              <w:spacing w:line="240" w:lineRule="auto"/>
              <w:ind w:firstLine="0" w:firstLineChars="0"/>
              <w:jc w:val="center"/>
              <w:rPr>
                <w:rFonts w:eastAsia="宋体" w:cs="Times New Roman"/>
                <w:b/>
                <w:bCs/>
                <w:sz w:val="20"/>
                <w:szCs w:val="20"/>
              </w:rPr>
            </w:pPr>
          </w:p>
        </w:tc>
        <w:tc>
          <w:tcPr>
            <w:tcW w:w="533" w:type="pct"/>
            <w:vMerge w:val="continue"/>
            <w:shd w:val="clear" w:color="000000" w:fill="FFFFFF"/>
            <w:vAlign w:val="center"/>
          </w:tcPr>
          <w:p w14:paraId="70671334">
            <w:pPr>
              <w:spacing w:line="240" w:lineRule="auto"/>
              <w:ind w:firstLine="0" w:firstLineChars="0"/>
              <w:jc w:val="center"/>
              <w:rPr>
                <w:rFonts w:eastAsia="宋体" w:cs="Times New Roman"/>
                <w:sz w:val="20"/>
                <w:szCs w:val="20"/>
              </w:rPr>
            </w:pPr>
          </w:p>
        </w:tc>
        <w:tc>
          <w:tcPr>
            <w:tcW w:w="677" w:type="pct"/>
            <w:vMerge w:val="continue"/>
            <w:shd w:val="clear" w:color="000000" w:fill="FFFFFF"/>
            <w:vAlign w:val="center"/>
          </w:tcPr>
          <w:p w14:paraId="3D58B278">
            <w:pPr>
              <w:spacing w:line="240" w:lineRule="auto"/>
              <w:ind w:firstLine="0" w:firstLineChars="0"/>
              <w:jc w:val="center"/>
              <w:rPr>
                <w:rFonts w:eastAsia="宋体" w:cs="Times New Roman"/>
                <w:sz w:val="20"/>
                <w:szCs w:val="20"/>
              </w:rPr>
            </w:pPr>
          </w:p>
        </w:tc>
        <w:tc>
          <w:tcPr>
            <w:tcW w:w="1452" w:type="pct"/>
            <w:shd w:val="clear" w:color="000000" w:fill="FFFFFF"/>
            <w:vAlign w:val="center"/>
          </w:tcPr>
          <w:p w14:paraId="0EC373BF">
            <w:pPr>
              <w:spacing w:line="240" w:lineRule="auto"/>
              <w:ind w:firstLine="0" w:firstLineChars="0"/>
              <w:jc w:val="center"/>
              <w:rPr>
                <w:rFonts w:eastAsia="宋体" w:cs="Times New Roman"/>
                <w:sz w:val="20"/>
                <w:szCs w:val="20"/>
              </w:rPr>
            </w:pPr>
            <w:r>
              <w:rPr>
                <w:rFonts w:eastAsia="宋体" w:cs="Times New Roman"/>
                <w:sz w:val="20"/>
                <w:szCs w:val="20"/>
              </w:rPr>
              <w:t>事业运行</w:t>
            </w:r>
          </w:p>
        </w:tc>
        <w:tc>
          <w:tcPr>
            <w:tcW w:w="929" w:type="pct"/>
            <w:shd w:val="clear" w:color="000000" w:fill="FFFFFF"/>
            <w:vAlign w:val="center"/>
          </w:tcPr>
          <w:p w14:paraId="7B3C2B2B">
            <w:pPr>
              <w:spacing w:line="240" w:lineRule="auto"/>
              <w:ind w:firstLine="0" w:firstLineChars="0"/>
              <w:jc w:val="center"/>
              <w:rPr>
                <w:rFonts w:eastAsia="宋体" w:cs="Times New Roman"/>
                <w:sz w:val="20"/>
                <w:szCs w:val="20"/>
              </w:rPr>
            </w:pPr>
            <w:r>
              <w:rPr>
                <w:rFonts w:eastAsia="宋体" w:cs="Times New Roman"/>
                <w:sz w:val="20"/>
                <w:szCs w:val="20"/>
              </w:rPr>
              <w:t>611.45</w:t>
            </w:r>
          </w:p>
        </w:tc>
        <w:tc>
          <w:tcPr>
            <w:tcW w:w="742" w:type="pct"/>
            <w:shd w:val="clear" w:color="000000" w:fill="FFFFFF"/>
            <w:vAlign w:val="center"/>
          </w:tcPr>
          <w:p w14:paraId="4E510715">
            <w:pPr>
              <w:spacing w:line="240" w:lineRule="auto"/>
              <w:ind w:firstLine="0" w:firstLineChars="0"/>
              <w:jc w:val="center"/>
              <w:rPr>
                <w:rFonts w:eastAsia="宋体" w:cs="Times New Roman"/>
                <w:sz w:val="20"/>
                <w:szCs w:val="20"/>
              </w:rPr>
            </w:pPr>
            <w:r>
              <w:rPr>
                <w:rFonts w:eastAsia="宋体" w:cs="Times New Roman"/>
                <w:sz w:val="20"/>
                <w:szCs w:val="20"/>
              </w:rPr>
              <w:t>611.45</w:t>
            </w:r>
          </w:p>
        </w:tc>
      </w:tr>
      <w:tr w14:paraId="67765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668" w:type="pct"/>
            <w:vMerge w:val="continue"/>
            <w:vAlign w:val="center"/>
          </w:tcPr>
          <w:p w14:paraId="5994A3A0">
            <w:pPr>
              <w:spacing w:line="240" w:lineRule="auto"/>
              <w:ind w:firstLine="0" w:firstLineChars="0"/>
              <w:jc w:val="center"/>
              <w:rPr>
                <w:rFonts w:eastAsia="宋体" w:cs="Times New Roman"/>
                <w:b/>
                <w:bCs/>
                <w:sz w:val="20"/>
                <w:szCs w:val="20"/>
              </w:rPr>
            </w:pPr>
          </w:p>
        </w:tc>
        <w:tc>
          <w:tcPr>
            <w:tcW w:w="533" w:type="pct"/>
            <w:shd w:val="clear" w:color="000000" w:fill="FFFFFF"/>
            <w:vAlign w:val="center"/>
          </w:tcPr>
          <w:p w14:paraId="36561741">
            <w:pPr>
              <w:spacing w:line="240" w:lineRule="auto"/>
              <w:ind w:firstLine="0" w:firstLineChars="0"/>
              <w:jc w:val="center"/>
              <w:rPr>
                <w:rFonts w:eastAsia="宋体" w:cs="Times New Roman"/>
                <w:sz w:val="20"/>
                <w:szCs w:val="20"/>
              </w:rPr>
            </w:pPr>
            <w:r>
              <w:rPr>
                <w:rFonts w:eastAsia="宋体" w:cs="Times New Roman"/>
                <w:sz w:val="20"/>
                <w:szCs w:val="20"/>
              </w:rPr>
              <w:t>住房保障支出</w:t>
            </w:r>
          </w:p>
        </w:tc>
        <w:tc>
          <w:tcPr>
            <w:tcW w:w="677" w:type="pct"/>
            <w:shd w:val="clear" w:color="000000" w:fill="FFFFFF"/>
            <w:vAlign w:val="center"/>
          </w:tcPr>
          <w:p w14:paraId="1FC6E232">
            <w:pPr>
              <w:spacing w:line="240" w:lineRule="auto"/>
              <w:ind w:firstLine="0" w:firstLineChars="0"/>
              <w:jc w:val="center"/>
              <w:rPr>
                <w:rFonts w:eastAsia="宋体" w:cs="Times New Roman"/>
                <w:sz w:val="20"/>
                <w:szCs w:val="20"/>
              </w:rPr>
            </w:pPr>
            <w:r>
              <w:rPr>
                <w:rFonts w:eastAsia="宋体" w:cs="Times New Roman"/>
                <w:sz w:val="20"/>
                <w:szCs w:val="20"/>
              </w:rPr>
              <w:t>住房改革支出</w:t>
            </w:r>
          </w:p>
        </w:tc>
        <w:tc>
          <w:tcPr>
            <w:tcW w:w="1452" w:type="pct"/>
            <w:shd w:val="clear" w:color="000000" w:fill="FFFFFF"/>
            <w:vAlign w:val="center"/>
          </w:tcPr>
          <w:p w14:paraId="2BE059E1">
            <w:pPr>
              <w:spacing w:line="240" w:lineRule="auto"/>
              <w:ind w:firstLine="0" w:firstLineChars="0"/>
              <w:jc w:val="center"/>
              <w:rPr>
                <w:rFonts w:eastAsia="宋体" w:cs="Times New Roman"/>
                <w:sz w:val="20"/>
                <w:szCs w:val="20"/>
              </w:rPr>
            </w:pPr>
            <w:r>
              <w:rPr>
                <w:rFonts w:eastAsia="宋体" w:cs="Times New Roman"/>
                <w:sz w:val="20"/>
                <w:szCs w:val="20"/>
              </w:rPr>
              <w:t>住房公积金</w:t>
            </w:r>
          </w:p>
        </w:tc>
        <w:tc>
          <w:tcPr>
            <w:tcW w:w="929" w:type="pct"/>
            <w:shd w:val="clear" w:color="000000" w:fill="FFFFFF"/>
            <w:vAlign w:val="center"/>
          </w:tcPr>
          <w:p w14:paraId="58E4CBAD">
            <w:pPr>
              <w:spacing w:line="240" w:lineRule="auto"/>
              <w:ind w:firstLine="0" w:firstLineChars="0"/>
              <w:jc w:val="center"/>
              <w:rPr>
                <w:rFonts w:eastAsia="宋体" w:cs="Times New Roman"/>
                <w:sz w:val="20"/>
                <w:szCs w:val="20"/>
              </w:rPr>
            </w:pPr>
            <w:r>
              <w:rPr>
                <w:rFonts w:eastAsia="宋体" w:cs="Times New Roman"/>
                <w:sz w:val="20"/>
                <w:szCs w:val="20"/>
              </w:rPr>
              <w:t>201.09</w:t>
            </w:r>
          </w:p>
        </w:tc>
        <w:tc>
          <w:tcPr>
            <w:tcW w:w="742" w:type="pct"/>
            <w:shd w:val="clear" w:color="000000" w:fill="FFFFFF"/>
            <w:vAlign w:val="center"/>
          </w:tcPr>
          <w:p w14:paraId="5C669BDD">
            <w:pPr>
              <w:spacing w:line="240" w:lineRule="auto"/>
              <w:ind w:firstLine="0" w:firstLineChars="0"/>
              <w:jc w:val="center"/>
              <w:rPr>
                <w:rFonts w:eastAsia="宋体" w:cs="Times New Roman"/>
                <w:sz w:val="20"/>
                <w:szCs w:val="20"/>
              </w:rPr>
            </w:pPr>
            <w:r>
              <w:rPr>
                <w:rFonts w:eastAsia="宋体" w:cs="Times New Roman"/>
                <w:sz w:val="20"/>
                <w:szCs w:val="20"/>
              </w:rPr>
              <w:t>201.09</w:t>
            </w:r>
          </w:p>
        </w:tc>
      </w:tr>
      <w:tr w14:paraId="76505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329" w:type="pct"/>
            <w:gridSpan w:val="4"/>
            <w:shd w:val="clear" w:color="000000" w:fill="FFFFFF"/>
            <w:vAlign w:val="center"/>
          </w:tcPr>
          <w:p w14:paraId="42C0E3B3">
            <w:pPr>
              <w:spacing w:line="240" w:lineRule="auto"/>
              <w:ind w:firstLine="0" w:firstLineChars="0"/>
              <w:jc w:val="center"/>
              <w:rPr>
                <w:rFonts w:eastAsia="宋体" w:cs="Times New Roman"/>
                <w:b/>
                <w:bCs/>
                <w:sz w:val="20"/>
                <w:szCs w:val="20"/>
              </w:rPr>
            </w:pPr>
            <w:r>
              <w:rPr>
                <w:rFonts w:eastAsia="宋体" w:cs="Times New Roman"/>
                <w:b/>
                <w:bCs/>
                <w:sz w:val="20"/>
                <w:szCs w:val="20"/>
              </w:rPr>
              <w:t>合计</w:t>
            </w:r>
          </w:p>
        </w:tc>
        <w:tc>
          <w:tcPr>
            <w:tcW w:w="929" w:type="pct"/>
            <w:shd w:val="clear" w:color="000000" w:fill="FFFFFF"/>
            <w:vAlign w:val="center"/>
          </w:tcPr>
          <w:p w14:paraId="7CEC140E">
            <w:pPr>
              <w:spacing w:line="240" w:lineRule="auto"/>
              <w:ind w:firstLine="0" w:firstLineChars="0"/>
              <w:jc w:val="center"/>
              <w:rPr>
                <w:rFonts w:eastAsia="宋体" w:cs="Times New Roman"/>
                <w:b/>
                <w:bCs/>
                <w:sz w:val="20"/>
                <w:szCs w:val="20"/>
              </w:rPr>
            </w:pPr>
            <w:r>
              <w:rPr>
                <w:rFonts w:eastAsia="宋体" w:cs="Times New Roman"/>
                <w:b/>
                <w:bCs/>
                <w:sz w:val="20"/>
                <w:szCs w:val="20"/>
              </w:rPr>
              <w:t>2771.36</w:t>
            </w:r>
          </w:p>
        </w:tc>
        <w:tc>
          <w:tcPr>
            <w:tcW w:w="742" w:type="pct"/>
            <w:shd w:val="clear" w:color="000000" w:fill="FFFFFF"/>
            <w:vAlign w:val="center"/>
          </w:tcPr>
          <w:p w14:paraId="07CA489D">
            <w:pPr>
              <w:spacing w:line="240" w:lineRule="auto"/>
              <w:ind w:firstLine="0" w:firstLineChars="0"/>
              <w:jc w:val="center"/>
              <w:rPr>
                <w:rFonts w:eastAsia="宋体" w:cs="Times New Roman"/>
                <w:b/>
                <w:bCs/>
                <w:sz w:val="20"/>
                <w:szCs w:val="20"/>
              </w:rPr>
            </w:pPr>
            <w:r>
              <w:rPr>
                <w:rFonts w:eastAsia="宋体" w:cs="Times New Roman"/>
                <w:b/>
                <w:bCs/>
                <w:sz w:val="20"/>
                <w:szCs w:val="20"/>
              </w:rPr>
              <w:t>2771.36</w:t>
            </w:r>
          </w:p>
        </w:tc>
      </w:tr>
    </w:tbl>
    <w:p w14:paraId="02E62407">
      <w:pPr>
        <w:ind w:firstLine="0" w:firstLineChars="0"/>
        <w:jc w:val="center"/>
        <w:rPr>
          <w:rFonts w:eastAsia="幼圆" w:cs="Times New Roman"/>
          <w:b/>
          <w:szCs w:val="32"/>
        </w:rPr>
      </w:pPr>
      <w:r>
        <w:rPr>
          <w:rFonts w:hint="eastAsia" w:eastAsia="幼圆" w:cs="Times New Roman"/>
          <w:b/>
          <w:szCs w:val="32"/>
        </w:rPr>
        <w:t>附表</w:t>
      </w:r>
      <w:r>
        <w:rPr>
          <w:rFonts w:eastAsia="幼圆" w:cs="Times New Roman"/>
          <w:b/>
          <w:szCs w:val="32"/>
        </w:rPr>
        <w:t>2020</w:t>
      </w:r>
      <w:r>
        <w:rPr>
          <w:rFonts w:hint="eastAsia" w:eastAsia="幼圆" w:cs="Times New Roman"/>
          <w:b/>
          <w:szCs w:val="32"/>
        </w:rPr>
        <w:t>年绵竹市自然资源和规划局部门项目支出表</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1273"/>
        <w:gridCol w:w="1471"/>
        <w:gridCol w:w="1892"/>
        <w:gridCol w:w="1510"/>
        <w:gridCol w:w="1193"/>
      </w:tblGrid>
      <w:tr w14:paraId="4934A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trPr>
        <w:tc>
          <w:tcPr>
            <w:tcW w:w="694" w:type="pct"/>
            <w:shd w:val="clear" w:color="auto" w:fill="00516B"/>
            <w:noWrap/>
            <w:vAlign w:val="center"/>
          </w:tcPr>
          <w:p w14:paraId="5200D01F">
            <w:pPr>
              <w:spacing w:line="240" w:lineRule="auto"/>
              <w:ind w:firstLine="0" w:firstLineChars="0"/>
              <w:jc w:val="center"/>
              <w:rPr>
                <w:rFonts w:eastAsia="宋体" w:cs="Times New Roman"/>
                <w:b/>
                <w:bCs/>
                <w:color w:val="FFFFFF" w:themeColor="background1"/>
                <w:sz w:val="20"/>
                <w:szCs w:val="20"/>
              </w:rPr>
            </w:pPr>
            <w:r>
              <w:rPr>
                <w:rFonts w:eastAsia="宋体" w:cs="Times New Roman"/>
                <w:b/>
                <w:bCs/>
                <w:color w:val="FFFFFF" w:themeColor="background1"/>
                <w:sz w:val="20"/>
                <w:szCs w:val="20"/>
              </w:rPr>
              <w:t>支出类别</w:t>
            </w:r>
          </w:p>
        </w:tc>
        <w:tc>
          <w:tcPr>
            <w:tcW w:w="2720" w:type="pct"/>
            <w:gridSpan w:val="3"/>
            <w:shd w:val="clear" w:color="auto" w:fill="00516B"/>
            <w:vAlign w:val="center"/>
          </w:tcPr>
          <w:p w14:paraId="043D1C38">
            <w:pPr>
              <w:spacing w:line="240" w:lineRule="auto"/>
              <w:ind w:firstLine="0" w:firstLineChars="0"/>
              <w:jc w:val="center"/>
              <w:rPr>
                <w:rFonts w:eastAsia="宋体" w:cs="Times New Roman"/>
                <w:b/>
                <w:bCs/>
                <w:color w:val="FFFFFF" w:themeColor="background1"/>
                <w:sz w:val="20"/>
                <w:szCs w:val="20"/>
              </w:rPr>
            </w:pPr>
            <w:r>
              <w:rPr>
                <w:rFonts w:eastAsia="宋体" w:cs="Times New Roman"/>
                <w:b/>
                <w:bCs/>
                <w:color w:val="FFFFFF" w:themeColor="background1"/>
                <w:sz w:val="20"/>
                <w:szCs w:val="20"/>
              </w:rPr>
              <w:t>科目名称</w:t>
            </w:r>
          </w:p>
        </w:tc>
        <w:tc>
          <w:tcPr>
            <w:tcW w:w="886" w:type="pct"/>
            <w:shd w:val="clear" w:color="auto" w:fill="00516B"/>
            <w:vAlign w:val="center"/>
          </w:tcPr>
          <w:p w14:paraId="37704A7D">
            <w:pPr>
              <w:spacing w:line="240" w:lineRule="auto"/>
              <w:ind w:firstLine="0" w:firstLineChars="0"/>
              <w:jc w:val="center"/>
              <w:rPr>
                <w:rFonts w:eastAsia="宋体" w:cs="Times New Roman"/>
                <w:b/>
                <w:bCs/>
                <w:color w:val="FFFFFF" w:themeColor="background1"/>
                <w:sz w:val="20"/>
                <w:szCs w:val="20"/>
              </w:rPr>
            </w:pPr>
            <w:r>
              <w:rPr>
                <w:rFonts w:eastAsia="宋体" w:cs="Times New Roman"/>
                <w:b/>
                <w:bCs/>
                <w:color w:val="FFFFFF" w:themeColor="background1"/>
                <w:sz w:val="20"/>
                <w:szCs w:val="20"/>
              </w:rPr>
              <w:t>调整后预算数（万元）</w:t>
            </w:r>
          </w:p>
        </w:tc>
        <w:tc>
          <w:tcPr>
            <w:tcW w:w="700" w:type="pct"/>
            <w:shd w:val="clear" w:color="auto" w:fill="00516B"/>
            <w:vAlign w:val="center"/>
          </w:tcPr>
          <w:p w14:paraId="69E67573">
            <w:pPr>
              <w:spacing w:line="240" w:lineRule="auto"/>
              <w:ind w:firstLine="0" w:firstLineChars="0"/>
              <w:jc w:val="center"/>
              <w:rPr>
                <w:rFonts w:eastAsia="宋体" w:cs="Times New Roman"/>
                <w:b/>
                <w:bCs/>
                <w:color w:val="FFFFFF" w:themeColor="background1"/>
                <w:sz w:val="20"/>
                <w:szCs w:val="20"/>
              </w:rPr>
            </w:pPr>
            <w:r>
              <w:rPr>
                <w:rFonts w:eastAsia="宋体" w:cs="Times New Roman"/>
                <w:b/>
                <w:bCs/>
                <w:color w:val="FFFFFF" w:themeColor="background1"/>
                <w:sz w:val="20"/>
                <w:szCs w:val="20"/>
              </w:rPr>
              <w:t>实际支出（万元）</w:t>
            </w:r>
          </w:p>
        </w:tc>
      </w:tr>
      <w:tr w14:paraId="6C708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694" w:type="pct"/>
            <w:vMerge w:val="restart"/>
            <w:shd w:val="clear" w:color="auto" w:fill="auto"/>
            <w:noWrap/>
            <w:vAlign w:val="center"/>
          </w:tcPr>
          <w:p w14:paraId="03F880C0">
            <w:pPr>
              <w:spacing w:line="240" w:lineRule="auto"/>
              <w:ind w:firstLine="0" w:firstLineChars="0"/>
              <w:jc w:val="center"/>
              <w:rPr>
                <w:rFonts w:eastAsia="宋体" w:cs="Times New Roman"/>
                <w:b/>
                <w:bCs/>
                <w:sz w:val="20"/>
                <w:szCs w:val="20"/>
              </w:rPr>
            </w:pPr>
            <w:r>
              <w:rPr>
                <w:rFonts w:eastAsia="宋体" w:cs="Times New Roman"/>
                <w:b/>
                <w:bCs/>
                <w:sz w:val="20"/>
                <w:szCs w:val="20"/>
              </w:rPr>
              <w:t>项目支出</w:t>
            </w:r>
          </w:p>
        </w:tc>
        <w:tc>
          <w:tcPr>
            <w:tcW w:w="747" w:type="pct"/>
            <w:shd w:val="clear" w:color="000000" w:fill="FFFFFF"/>
            <w:vAlign w:val="center"/>
          </w:tcPr>
          <w:p w14:paraId="6F700AFB">
            <w:pPr>
              <w:spacing w:line="240" w:lineRule="auto"/>
              <w:ind w:firstLine="0" w:firstLineChars="0"/>
              <w:jc w:val="center"/>
              <w:rPr>
                <w:rFonts w:eastAsia="宋体" w:cs="Times New Roman"/>
                <w:sz w:val="20"/>
                <w:szCs w:val="20"/>
              </w:rPr>
            </w:pPr>
            <w:r>
              <w:rPr>
                <w:rFonts w:eastAsia="宋体" w:cs="Times New Roman"/>
                <w:sz w:val="20"/>
                <w:szCs w:val="20"/>
              </w:rPr>
              <w:t>文化旅游体育与传媒支出</w:t>
            </w:r>
          </w:p>
        </w:tc>
        <w:tc>
          <w:tcPr>
            <w:tcW w:w="862" w:type="pct"/>
            <w:shd w:val="clear" w:color="000000" w:fill="FFFFFF"/>
            <w:vAlign w:val="center"/>
          </w:tcPr>
          <w:p w14:paraId="38623918">
            <w:pPr>
              <w:spacing w:line="240" w:lineRule="auto"/>
              <w:ind w:firstLine="0" w:firstLineChars="0"/>
              <w:jc w:val="center"/>
              <w:rPr>
                <w:rFonts w:eastAsia="宋体" w:cs="Times New Roman"/>
                <w:sz w:val="20"/>
                <w:szCs w:val="20"/>
              </w:rPr>
            </w:pPr>
            <w:r>
              <w:rPr>
                <w:rFonts w:eastAsia="宋体" w:cs="Times New Roman"/>
                <w:sz w:val="20"/>
                <w:szCs w:val="20"/>
              </w:rPr>
              <w:t>文化和旅游</w:t>
            </w:r>
          </w:p>
        </w:tc>
        <w:tc>
          <w:tcPr>
            <w:tcW w:w="1110" w:type="pct"/>
            <w:shd w:val="clear" w:color="000000" w:fill="FFFFFF"/>
            <w:vAlign w:val="center"/>
          </w:tcPr>
          <w:p w14:paraId="2B351594">
            <w:pPr>
              <w:spacing w:line="240" w:lineRule="auto"/>
              <w:ind w:firstLine="0" w:firstLineChars="0"/>
              <w:jc w:val="center"/>
              <w:rPr>
                <w:rFonts w:eastAsia="宋体" w:cs="Times New Roman"/>
                <w:sz w:val="20"/>
                <w:szCs w:val="20"/>
              </w:rPr>
            </w:pPr>
            <w:r>
              <w:rPr>
                <w:rFonts w:eastAsia="宋体" w:cs="Times New Roman"/>
                <w:sz w:val="20"/>
                <w:szCs w:val="20"/>
              </w:rPr>
              <w:t>其它文化和旅游支出</w:t>
            </w:r>
          </w:p>
        </w:tc>
        <w:tc>
          <w:tcPr>
            <w:tcW w:w="886" w:type="pct"/>
            <w:shd w:val="clear" w:color="000000" w:fill="FFFFFF"/>
            <w:vAlign w:val="center"/>
          </w:tcPr>
          <w:p w14:paraId="2E8989A9">
            <w:pPr>
              <w:spacing w:line="240" w:lineRule="auto"/>
              <w:ind w:firstLine="0" w:firstLineChars="0"/>
              <w:jc w:val="center"/>
              <w:rPr>
                <w:rFonts w:eastAsia="宋体" w:cs="Times New Roman"/>
                <w:sz w:val="20"/>
                <w:szCs w:val="20"/>
              </w:rPr>
            </w:pPr>
            <w:r>
              <w:rPr>
                <w:rFonts w:eastAsia="宋体" w:cs="Times New Roman"/>
                <w:sz w:val="20"/>
                <w:szCs w:val="20"/>
              </w:rPr>
              <w:t>3000.00</w:t>
            </w:r>
          </w:p>
        </w:tc>
        <w:tc>
          <w:tcPr>
            <w:tcW w:w="700" w:type="pct"/>
            <w:shd w:val="clear" w:color="000000" w:fill="FFFFFF"/>
            <w:vAlign w:val="center"/>
          </w:tcPr>
          <w:p w14:paraId="6D72E964">
            <w:pPr>
              <w:spacing w:line="240" w:lineRule="auto"/>
              <w:ind w:firstLine="0" w:firstLineChars="0"/>
              <w:jc w:val="center"/>
              <w:rPr>
                <w:rFonts w:eastAsia="宋体" w:cs="Times New Roman"/>
                <w:sz w:val="20"/>
                <w:szCs w:val="20"/>
              </w:rPr>
            </w:pPr>
            <w:r>
              <w:rPr>
                <w:rFonts w:eastAsia="宋体" w:cs="Times New Roman"/>
                <w:sz w:val="20"/>
                <w:szCs w:val="20"/>
              </w:rPr>
              <w:t>3000.00</w:t>
            </w:r>
          </w:p>
        </w:tc>
      </w:tr>
      <w:tr w14:paraId="48281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94" w:type="pct"/>
            <w:vMerge w:val="continue"/>
            <w:vAlign w:val="center"/>
          </w:tcPr>
          <w:p w14:paraId="343A3AE3">
            <w:pPr>
              <w:spacing w:line="240" w:lineRule="auto"/>
              <w:ind w:firstLine="0" w:firstLineChars="0"/>
              <w:jc w:val="center"/>
              <w:rPr>
                <w:rFonts w:eastAsia="宋体" w:cs="Times New Roman"/>
                <w:b/>
                <w:bCs/>
                <w:sz w:val="20"/>
                <w:szCs w:val="20"/>
              </w:rPr>
            </w:pPr>
          </w:p>
        </w:tc>
        <w:tc>
          <w:tcPr>
            <w:tcW w:w="747" w:type="pct"/>
            <w:shd w:val="clear" w:color="000000" w:fill="FFFFFF"/>
            <w:vAlign w:val="center"/>
          </w:tcPr>
          <w:p w14:paraId="38F1DEEC">
            <w:pPr>
              <w:spacing w:line="240" w:lineRule="auto"/>
              <w:ind w:firstLine="0" w:firstLineChars="0"/>
              <w:jc w:val="center"/>
              <w:rPr>
                <w:rFonts w:eastAsia="宋体" w:cs="Times New Roman"/>
                <w:sz w:val="20"/>
                <w:szCs w:val="20"/>
              </w:rPr>
            </w:pPr>
            <w:r>
              <w:rPr>
                <w:rFonts w:eastAsia="宋体" w:cs="Times New Roman"/>
                <w:sz w:val="20"/>
                <w:szCs w:val="20"/>
              </w:rPr>
              <w:t>社会保障和就业支出</w:t>
            </w:r>
          </w:p>
        </w:tc>
        <w:tc>
          <w:tcPr>
            <w:tcW w:w="862" w:type="pct"/>
            <w:shd w:val="clear" w:color="000000" w:fill="FFFFFF"/>
            <w:vAlign w:val="center"/>
          </w:tcPr>
          <w:p w14:paraId="3201D003">
            <w:pPr>
              <w:spacing w:line="240" w:lineRule="auto"/>
              <w:ind w:firstLine="0" w:firstLineChars="0"/>
              <w:jc w:val="center"/>
              <w:rPr>
                <w:rFonts w:eastAsia="宋体" w:cs="Times New Roman"/>
                <w:sz w:val="20"/>
                <w:szCs w:val="20"/>
              </w:rPr>
            </w:pPr>
            <w:r>
              <w:rPr>
                <w:rFonts w:eastAsia="宋体" w:cs="Times New Roman"/>
                <w:sz w:val="20"/>
                <w:szCs w:val="20"/>
              </w:rPr>
              <w:t>其它社会保障和就业支出</w:t>
            </w:r>
          </w:p>
        </w:tc>
        <w:tc>
          <w:tcPr>
            <w:tcW w:w="1110" w:type="pct"/>
            <w:shd w:val="clear" w:color="000000" w:fill="FFFFFF"/>
            <w:vAlign w:val="center"/>
          </w:tcPr>
          <w:p w14:paraId="0A95D97C">
            <w:pPr>
              <w:spacing w:line="240" w:lineRule="auto"/>
              <w:ind w:firstLine="0" w:firstLineChars="0"/>
              <w:jc w:val="center"/>
              <w:rPr>
                <w:rFonts w:eastAsia="宋体" w:cs="Times New Roman"/>
                <w:sz w:val="20"/>
                <w:szCs w:val="20"/>
              </w:rPr>
            </w:pPr>
            <w:r>
              <w:rPr>
                <w:rFonts w:eastAsia="宋体" w:cs="Times New Roman"/>
                <w:sz w:val="20"/>
                <w:szCs w:val="20"/>
              </w:rPr>
              <w:t>其它社会保障和就业支出</w:t>
            </w:r>
          </w:p>
        </w:tc>
        <w:tc>
          <w:tcPr>
            <w:tcW w:w="886" w:type="pct"/>
            <w:shd w:val="clear" w:color="000000" w:fill="FFFFFF"/>
            <w:vAlign w:val="center"/>
          </w:tcPr>
          <w:p w14:paraId="31C52E15">
            <w:pPr>
              <w:spacing w:line="240" w:lineRule="auto"/>
              <w:ind w:firstLine="0" w:firstLineChars="0"/>
              <w:jc w:val="center"/>
              <w:rPr>
                <w:rFonts w:eastAsia="宋体" w:cs="Times New Roman"/>
                <w:sz w:val="20"/>
                <w:szCs w:val="20"/>
              </w:rPr>
            </w:pPr>
            <w:r>
              <w:rPr>
                <w:rFonts w:eastAsia="宋体" w:cs="Times New Roman"/>
                <w:sz w:val="20"/>
                <w:szCs w:val="20"/>
              </w:rPr>
              <w:t>6000.00</w:t>
            </w:r>
          </w:p>
        </w:tc>
        <w:tc>
          <w:tcPr>
            <w:tcW w:w="700" w:type="pct"/>
            <w:shd w:val="clear" w:color="000000" w:fill="FFFFFF"/>
            <w:vAlign w:val="center"/>
          </w:tcPr>
          <w:p w14:paraId="7485B2C5">
            <w:pPr>
              <w:spacing w:line="240" w:lineRule="auto"/>
              <w:ind w:firstLine="0" w:firstLineChars="0"/>
              <w:jc w:val="center"/>
              <w:rPr>
                <w:rFonts w:eastAsia="宋体" w:cs="Times New Roman"/>
                <w:sz w:val="20"/>
                <w:szCs w:val="20"/>
              </w:rPr>
            </w:pPr>
            <w:r>
              <w:rPr>
                <w:rFonts w:eastAsia="宋体" w:cs="Times New Roman"/>
                <w:sz w:val="20"/>
                <w:szCs w:val="20"/>
              </w:rPr>
              <w:t>6000.00</w:t>
            </w:r>
          </w:p>
        </w:tc>
      </w:tr>
      <w:tr w14:paraId="2F105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694" w:type="pct"/>
            <w:vMerge w:val="continue"/>
            <w:vAlign w:val="center"/>
          </w:tcPr>
          <w:p w14:paraId="446ABC2E">
            <w:pPr>
              <w:spacing w:line="240" w:lineRule="auto"/>
              <w:ind w:firstLine="0" w:firstLineChars="0"/>
              <w:jc w:val="center"/>
              <w:rPr>
                <w:rFonts w:eastAsia="宋体" w:cs="Times New Roman"/>
                <w:b/>
                <w:bCs/>
                <w:sz w:val="20"/>
                <w:szCs w:val="20"/>
              </w:rPr>
            </w:pPr>
          </w:p>
        </w:tc>
        <w:tc>
          <w:tcPr>
            <w:tcW w:w="747" w:type="pct"/>
            <w:shd w:val="clear" w:color="000000" w:fill="FFFFFF"/>
            <w:vAlign w:val="center"/>
          </w:tcPr>
          <w:p w14:paraId="4DC1FF63">
            <w:pPr>
              <w:spacing w:line="240" w:lineRule="auto"/>
              <w:ind w:firstLine="0" w:firstLineChars="0"/>
              <w:jc w:val="center"/>
              <w:rPr>
                <w:rFonts w:eastAsia="宋体" w:cs="Times New Roman"/>
                <w:sz w:val="20"/>
                <w:szCs w:val="20"/>
              </w:rPr>
            </w:pPr>
            <w:r>
              <w:rPr>
                <w:rFonts w:eastAsia="宋体" w:cs="Times New Roman"/>
                <w:sz w:val="20"/>
                <w:szCs w:val="20"/>
              </w:rPr>
              <w:t>节能环保支出</w:t>
            </w:r>
          </w:p>
        </w:tc>
        <w:tc>
          <w:tcPr>
            <w:tcW w:w="862" w:type="pct"/>
            <w:shd w:val="clear" w:color="000000" w:fill="FFFFFF"/>
            <w:vAlign w:val="center"/>
          </w:tcPr>
          <w:p w14:paraId="266F482A">
            <w:pPr>
              <w:spacing w:line="240" w:lineRule="auto"/>
              <w:ind w:firstLine="0" w:firstLineChars="0"/>
              <w:jc w:val="center"/>
              <w:rPr>
                <w:rFonts w:eastAsia="宋体" w:cs="Times New Roman"/>
                <w:sz w:val="20"/>
                <w:szCs w:val="20"/>
              </w:rPr>
            </w:pPr>
            <w:r>
              <w:rPr>
                <w:rFonts w:eastAsia="宋体" w:cs="Times New Roman"/>
                <w:sz w:val="20"/>
                <w:szCs w:val="20"/>
              </w:rPr>
              <w:t>天然林保护</w:t>
            </w:r>
          </w:p>
        </w:tc>
        <w:tc>
          <w:tcPr>
            <w:tcW w:w="1110" w:type="pct"/>
            <w:shd w:val="clear" w:color="000000" w:fill="FFFFFF"/>
            <w:vAlign w:val="center"/>
          </w:tcPr>
          <w:p w14:paraId="16304CE0">
            <w:pPr>
              <w:spacing w:line="240" w:lineRule="auto"/>
              <w:ind w:firstLine="0" w:firstLineChars="0"/>
              <w:jc w:val="center"/>
              <w:rPr>
                <w:rFonts w:eastAsia="宋体" w:cs="Times New Roman"/>
                <w:sz w:val="20"/>
                <w:szCs w:val="20"/>
              </w:rPr>
            </w:pPr>
            <w:r>
              <w:rPr>
                <w:rFonts w:eastAsia="宋体" w:cs="Times New Roman"/>
                <w:sz w:val="20"/>
                <w:szCs w:val="20"/>
              </w:rPr>
              <w:t>社会保险补助</w:t>
            </w:r>
          </w:p>
        </w:tc>
        <w:tc>
          <w:tcPr>
            <w:tcW w:w="886" w:type="pct"/>
            <w:shd w:val="clear" w:color="000000" w:fill="FFFFFF"/>
            <w:vAlign w:val="center"/>
          </w:tcPr>
          <w:p w14:paraId="5601EA24">
            <w:pPr>
              <w:spacing w:line="240" w:lineRule="auto"/>
              <w:ind w:firstLine="0" w:firstLineChars="0"/>
              <w:jc w:val="center"/>
              <w:rPr>
                <w:rFonts w:eastAsia="宋体" w:cs="Times New Roman"/>
                <w:sz w:val="20"/>
                <w:szCs w:val="20"/>
              </w:rPr>
            </w:pPr>
            <w:r>
              <w:rPr>
                <w:rFonts w:eastAsia="宋体" w:cs="Times New Roman"/>
                <w:sz w:val="20"/>
                <w:szCs w:val="20"/>
              </w:rPr>
              <w:t>15.62</w:t>
            </w:r>
          </w:p>
        </w:tc>
        <w:tc>
          <w:tcPr>
            <w:tcW w:w="700" w:type="pct"/>
            <w:shd w:val="clear" w:color="000000" w:fill="FFFFFF"/>
            <w:vAlign w:val="center"/>
          </w:tcPr>
          <w:p w14:paraId="22804CD5">
            <w:pPr>
              <w:spacing w:line="240" w:lineRule="auto"/>
              <w:ind w:firstLine="0" w:firstLineChars="0"/>
              <w:jc w:val="center"/>
              <w:rPr>
                <w:rFonts w:eastAsia="宋体" w:cs="Times New Roman"/>
                <w:sz w:val="20"/>
                <w:szCs w:val="20"/>
              </w:rPr>
            </w:pPr>
            <w:r>
              <w:rPr>
                <w:rFonts w:eastAsia="宋体" w:cs="Times New Roman"/>
                <w:sz w:val="20"/>
                <w:szCs w:val="20"/>
              </w:rPr>
              <w:t>15.62</w:t>
            </w:r>
          </w:p>
        </w:tc>
      </w:tr>
      <w:tr w14:paraId="7FDF9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694" w:type="pct"/>
            <w:vMerge w:val="continue"/>
            <w:vAlign w:val="center"/>
          </w:tcPr>
          <w:p w14:paraId="2085C901">
            <w:pPr>
              <w:spacing w:line="240" w:lineRule="auto"/>
              <w:ind w:firstLine="0" w:firstLineChars="0"/>
              <w:jc w:val="center"/>
              <w:rPr>
                <w:rFonts w:eastAsia="宋体" w:cs="Times New Roman"/>
                <w:b/>
                <w:bCs/>
                <w:sz w:val="20"/>
                <w:szCs w:val="20"/>
              </w:rPr>
            </w:pPr>
          </w:p>
        </w:tc>
        <w:tc>
          <w:tcPr>
            <w:tcW w:w="747" w:type="pct"/>
            <w:vMerge w:val="restart"/>
            <w:shd w:val="clear" w:color="000000" w:fill="FFFFFF"/>
            <w:vAlign w:val="center"/>
          </w:tcPr>
          <w:p w14:paraId="477CE86E">
            <w:pPr>
              <w:spacing w:line="240" w:lineRule="auto"/>
              <w:ind w:firstLine="0" w:firstLineChars="0"/>
              <w:jc w:val="center"/>
              <w:rPr>
                <w:rFonts w:eastAsia="宋体" w:cs="Times New Roman"/>
                <w:sz w:val="20"/>
                <w:szCs w:val="20"/>
              </w:rPr>
            </w:pPr>
            <w:r>
              <w:rPr>
                <w:rFonts w:eastAsia="宋体" w:cs="Times New Roman"/>
                <w:sz w:val="20"/>
                <w:szCs w:val="20"/>
              </w:rPr>
              <w:t>城乡社区支出</w:t>
            </w:r>
          </w:p>
        </w:tc>
        <w:tc>
          <w:tcPr>
            <w:tcW w:w="862" w:type="pct"/>
            <w:shd w:val="clear" w:color="000000" w:fill="FFFFFF"/>
            <w:vAlign w:val="center"/>
          </w:tcPr>
          <w:p w14:paraId="1DED9F3A">
            <w:pPr>
              <w:spacing w:line="240" w:lineRule="auto"/>
              <w:ind w:firstLine="0" w:firstLineChars="0"/>
              <w:jc w:val="center"/>
              <w:rPr>
                <w:rFonts w:eastAsia="宋体" w:cs="Times New Roman"/>
                <w:sz w:val="20"/>
                <w:szCs w:val="20"/>
              </w:rPr>
            </w:pPr>
            <w:r>
              <w:rPr>
                <w:rFonts w:eastAsia="宋体" w:cs="Times New Roman"/>
                <w:sz w:val="20"/>
                <w:szCs w:val="20"/>
              </w:rPr>
              <w:t>城乡社区管理事务</w:t>
            </w:r>
          </w:p>
        </w:tc>
        <w:tc>
          <w:tcPr>
            <w:tcW w:w="1110" w:type="pct"/>
            <w:shd w:val="clear" w:color="000000" w:fill="FFFFFF"/>
            <w:vAlign w:val="center"/>
          </w:tcPr>
          <w:p w14:paraId="400230B0">
            <w:pPr>
              <w:spacing w:line="240" w:lineRule="auto"/>
              <w:ind w:firstLine="0" w:firstLineChars="0"/>
              <w:jc w:val="center"/>
              <w:rPr>
                <w:rFonts w:eastAsia="宋体" w:cs="Times New Roman"/>
                <w:sz w:val="20"/>
                <w:szCs w:val="20"/>
              </w:rPr>
            </w:pPr>
            <w:r>
              <w:rPr>
                <w:rFonts w:eastAsia="宋体" w:cs="Times New Roman"/>
                <w:sz w:val="20"/>
                <w:szCs w:val="20"/>
              </w:rPr>
              <w:t>一般行政管理事务</w:t>
            </w:r>
          </w:p>
        </w:tc>
        <w:tc>
          <w:tcPr>
            <w:tcW w:w="886" w:type="pct"/>
            <w:shd w:val="clear" w:color="000000" w:fill="FFFFFF"/>
            <w:vAlign w:val="center"/>
          </w:tcPr>
          <w:p w14:paraId="2F12A7C1">
            <w:pPr>
              <w:spacing w:line="240" w:lineRule="auto"/>
              <w:ind w:firstLine="0" w:firstLineChars="0"/>
              <w:jc w:val="center"/>
              <w:rPr>
                <w:rFonts w:eastAsia="宋体" w:cs="Times New Roman"/>
                <w:sz w:val="20"/>
                <w:szCs w:val="20"/>
              </w:rPr>
            </w:pPr>
            <w:r>
              <w:rPr>
                <w:rFonts w:eastAsia="宋体" w:cs="Times New Roman"/>
                <w:sz w:val="20"/>
                <w:szCs w:val="20"/>
              </w:rPr>
              <w:t>485.86</w:t>
            </w:r>
          </w:p>
        </w:tc>
        <w:tc>
          <w:tcPr>
            <w:tcW w:w="700" w:type="pct"/>
            <w:shd w:val="clear" w:color="000000" w:fill="FFFFFF"/>
            <w:vAlign w:val="center"/>
          </w:tcPr>
          <w:p w14:paraId="79BA6C74">
            <w:pPr>
              <w:spacing w:line="240" w:lineRule="auto"/>
              <w:ind w:firstLine="0" w:firstLineChars="0"/>
              <w:jc w:val="center"/>
              <w:rPr>
                <w:rFonts w:eastAsia="宋体" w:cs="Times New Roman"/>
                <w:sz w:val="20"/>
                <w:szCs w:val="20"/>
              </w:rPr>
            </w:pPr>
            <w:r>
              <w:rPr>
                <w:rFonts w:eastAsia="宋体" w:cs="Times New Roman"/>
                <w:sz w:val="20"/>
                <w:szCs w:val="20"/>
              </w:rPr>
              <w:t>485.86</w:t>
            </w:r>
          </w:p>
        </w:tc>
      </w:tr>
      <w:tr w14:paraId="25379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694" w:type="pct"/>
            <w:vMerge w:val="continue"/>
            <w:vAlign w:val="center"/>
          </w:tcPr>
          <w:p w14:paraId="40268F2A">
            <w:pPr>
              <w:spacing w:line="240" w:lineRule="auto"/>
              <w:ind w:firstLine="0" w:firstLineChars="0"/>
              <w:jc w:val="center"/>
              <w:rPr>
                <w:rFonts w:eastAsia="宋体" w:cs="Times New Roman"/>
                <w:b/>
                <w:bCs/>
                <w:sz w:val="20"/>
                <w:szCs w:val="20"/>
              </w:rPr>
            </w:pPr>
          </w:p>
        </w:tc>
        <w:tc>
          <w:tcPr>
            <w:tcW w:w="747" w:type="pct"/>
            <w:vMerge w:val="continue"/>
            <w:shd w:val="clear" w:color="000000" w:fill="FFFFFF"/>
            <w:vAlign w:val="center"/>
          </w:tcPr>
          <w:p w14:paraId="224F0405">
            <w:pPr>
              <w:spacing w:line="240" w:lineRule="auto"/>
              <w:ind w:firstLine="0" w:firstLineChars="0"/>
              <w:jc w:val="center"/>
              <w:rPr>
                <w:rFonts w:eastAsia="宋体" w:cs="Times New Roman"/>
                <w:sz w:val="20"/>
                <w:szCs w:val="20"/>
              </w:rPr>
            </w:pPr>
          </w:p>
        </w:tc>
        <w:tc>
          <w:tcPr>
            <w:tcW w:w="862" w:type="pct"/>
            <w:vMerge w:val="restart"/>
            <w:shd w:val="clear" w:color="000000" w:fill="FFFFFF"/>
            <w:vAlign w:val="center"/>
          </w:tcPr>
          <w:p w14:paraId="4C59EB6A">
            <w:pPr>
              <w:spacing w:line="240" w:lineRule="auto"/>
              <w:ind w:firstLine="0" w:firstLineChars="0"/>
              <w:jc w:val="center"/>
              <w:rPr>
                <w:rFonts w:eastAsia="宋体" w:cs="Times New Roman"/>
                <w:sz w:val="20"/>
                <w:szCs w:val="20"/>
              </w:rPr>
            </w:pPr>
            <w:r>
              <w:rPr>
                <w:rFonts w:eastAsia="宋体" w:cs="Times New Roman"/>
                <w:sz w:val="20"/>
                <w:szCs w:val="20"/>
              </w:rPr>
              <w:t>国有土地使用权出让收入安排的支出</w:t>
            </w:r>
          </w:p>
        </w:tc>
        <w:tc>
          <w:tcPr>
            <w:tcW w:w="1110" w:type="pct"/>
            <w:shd w:val="clear" w:color="000000" w:fill="FFFFFF"/>
            <w:vAlign w:val="center"/>
          </w:tcPr>
          <w:p w14:paraId="30A912CE">
            <w:pPr>
              <w:spacing w:line="240" w:lineRule="auto"/>
              <w:ind w:firstLine="0" w:firstLineChars="0"/>
              <w:jc w:val="center"/>
              <w:rPr>
                <w:rFonts w:eastAsia="宋体" w:cs="Times New Roman"/>
                <w:sz w:val="20"/>
                <w:szCs w:val="20"/>
              </w:rPr>
            </w:pPr>
            <w:r>
              <w:rPr>
                <w:rFonts w:eastAsia="宋体" w:cs="Times New Roman"/>
                <w:sz w:val="20"/>
                <w:szCs w:val="20"/>
              </w:rPr>
              <w:t>征地和拆迁补偿支出</w:t>
            </w:r>
          </w:p>
        </w:tc>
        <w:tc>
          <w:tcPr>
            <w:tcW w:w="886" w:type="pct"/>
            <w:shd w:val="clear" w:color="000000" w:fill="FFFFFF"/>
            <w:vAlign w:val="center"/>
          </w:tcPr>
          <w:p w14:paraId="614345BF">
            <w:pPr>
              <w:spacing w:line="240" w:lineRule="auto"/>
              <w:ind w:firstLine="0" w:firstLineChars="0"/>
              <w:jc w:val="center"/>
              <w:rPr>
                <w:rFonts w:eastAsia="宋体" w:cs="Times New Roman"/>
                <w:sz w:val="20"/>
                <w:szCs w:val="20"/>
              </w:rPr>
            </w:pPr>
            <w:r>
              <w:rPr>
                <w:rFonts w:eastAsia="宋体" w:cs="Times New Roman"/>
                <w:sz w:val="20"/>
                <w:szCs w:val="20"/>
              </w:rPr>
              <w:t>29342.79</w:t>
            </w:r>
          </w:p>
        </w:tc>
        <w:tc>
          <w:tcPr>
            <w:tcW w:w="700" w:type="pct"/>
            <w:shd w:val="clear" w:color="000000" w:fill="FFFFFF"/>
            <w:vAlign w:val="center"/>
          </w:tcPr>
          <w:p w14:paraId="6CD79337">
            <w:pPr>
              <w:spacing w:line="240" w:lineRule="auto"/>
              <w:ind w:firstLine="0" w:firstLineChars="0"/>
              <w:jc w:val="center"/>
              <w:rPr>
                <w:rFonts w:eastAsia="宋体" w:cs="Times New Roman"/>
                <w:sz w:val="20"/>
                <w:szCs w:val="20"/>
              </w:rPr>
            </w:pPr>
            <w:r>
              <w:rPr>
                <w:rFonts w:eastAsia="宋体" w:cs="Times New Roman"/>
                <w:sz w:val="20"/>
                <w:szCs w:val="20"/>
              </w:rPr>
              <w:t>29342.79</w:t>
            </w:r>
          </w:p>
        </w:tc>
      </w:tr>
      <w:tr w14:paraId="35D21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694" w:type="pct"/>
            <w:vMerge w:val="continue"/>
            <w:vAlign w:val="center"/>
          </w:tcPr>
          <w:p w14:paraId="60648971">
            <w:pPr>
              <w:spacing w:line="240" w:lineRule="auto"/>
              <w:ind w:firstLine="0" w:firstLineChars="0"/>
              <w:jc w:val="center"/>
              <w:rPr>
                <w:rFonts w:eastAsia="宋体" w:cs="Times New Roman"/>
                <w:b/>
                <w:bCs/>
                <w:sz w:val="20"/>
                <w:szCs w:val="20"/>
              </w:rPr>
            </w:pPr>
          </w:p>
        </w:tc>
        <w:tc>
          <w:tcPr>
            <w:tcW w:w="747" w:type="pct"/>
            <w:vMerge w:val="continue"/>
            <w:shd w:val="clear" w:color="000000" w:fill="FFFFFF"/>
            <w:vAlign w:val="center"/>
          </w:tcPr>
          <w:p w14:paraId="0BF996CF">
            <w:pPr>
              <w:spacing w:line="240" w:lineRule="auto"/>
              <w:ind w:firstLine="0" w:firstLineChars="0"/>
              <w:jc w:val="center"/>
              <w:rPr>
                <w:rFonts w:eastAsia="宋体" w:cs="Times New Roman"/>
                <w:sz w:val="20"/>
                <w:szCs w:val="20"/>
              </w:rPr>
            </w:pPr>
          </w:p>
        </w:tc>
        <w:tc>
          <w:tcPr>
            <w:tcW w:w="862" w:type="pct"/>
            <w:vMerge w:val="continue"/>
            <w:shd w:val="clear" w:color="000000" w:fill="FFFFFF"/>
            <w:vAlign w:val="center"/>
          </w:tcPr>
          <w:p w14:paraId="011B461D">
            <w:pPr>
              <w:spacing w:line="240" w:lineRule="auto"/>
              <w:ind w:firstLine="0" w:firstLineChars="0"/>
              <w:jc w:val="center"/>
              <w:rPr>
                <w:rFonts w:eastAsia="宋体" w:cs="Times New Roman"/>
                <w:sz w:val="20"/>
                <w:szCs w:val="20"/>
              </w:rPr>
            </w:pPr>
          </w:p>
        </w:tc>
        <w:tc>
          <w:tcPr>
            <w:tcW w:w="1110" w:type="pct"/>
            <w:shd w:val="clear" w:color="000000" w:fill="FFFFFF"/>
            <w:vAlign w:val="center"/>
          </w:tcPr>
          <w:p w14:paraId="0E5D81E2">
            <w:pPr>
              <w:spacing w:line="240" w:lineRule="auto"/>
              <w:ind w:firstLine="0" w:firstLineChars="0"/>
              <w:jc w:val="center"/>
              <w:rPr>
                <w:rFonts w:eastAsia="宋体" w:cs="Times New Roman"/>
                <w:sz w:val="20"/>
                <w:szCs w:val="20"/>
              </w:rPr>
            </w:pPr>
            <w:r>
              <w:rPr>
                <w:rFonts w:eastAsia="宋体" w:cs="Times New Roman"/>
                <w:sz w:val="20"/>
                <w:szCs w:val="20"/>
              </w:rPr>
              <w:t>土地开发支出</w:t>
            </w:r>
          </w:p>
        </w:tc>
        <w:tc>
          <w:tcPr>
            <w:tcW w:w="886" w:type="pct"/>
            <w:shd w:val="clear" w:color="000000" w:fill="FFFFFF"/>
            <w:vAlign w:val="center"/>
          </w:tcPr>
          <w:p w14:paraId="344C692F">
            <w:pPr>
              <w:spacing w:line="240" w:lineRule="auto"/>
              <w:ind w:firstLine="0" w:firstLineChars="0"/>
              <w:jc w:val="center"/>
              <w:rPr>
                <w:rFonts w:eastAsia="宋体" w:cs="Times New Roman"/>
                <w:sz w:val="20"/>
                <w:szCs w:val="20"/>
              </w:rPr>
            </w:pPr>
            <w:r>
              <w:rPr>
                <w:rFonts w:eastAsia="宋体" w:cs="Times New Roman"/>
                <w:sz w:val="20"/>
                <w:szCs w:val="20"/>
              </w:rPr>
              <w:t>33.74</w:t>
            </w:r>
          </w:p>
        </w:tc>
        <w:tc>
          <w:tcPr>
            <w:tcW w:w="700" w:type="pct"/>
            <w:shd w:val="clear" w:color="000000" w:fill="FFFFFF"/>
            <w:vAlign w:val="center"/>
          </w:tcPr>
          <w:p w14:paraId="726C0A3F">
            <w:pPr>
              <w:spacing w:line="240" w:lineRule="auto"/>
              <w:ind w:firstLine="0" w:firstLineChars="0"/>
              <w:jc w:val="center"/>
              <w:rPr>
                <w:rFonts w:eastAsia="宋体" w:cs="Times New Roman"/>
                <w:sz w:val="20"/>
                <w:szCs w:val="20"/>
              </w:rPr>
            </w:pPr>
            <w:r>
              <w:rPr>
                <w:rFonts w:eastAsia="宋体" w:cs="Times New Roman"/>
                <w:sz w:val="20"/>
                <w:szCs w:val="20"/>
              </w:rPr>
              <w:t>33.74</w:t>
            </w:r>
          </w:p>
        </w:tc>
      </w:tr>
      <w:tr w14:paraId="7E41E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694" w:type="pct"/>
            <w:vMerge w:val="continue"/>
            <w:vAlign w:val="center"/>
          </w:tcPr>
          <w:p w14:paraId="57CCF438">
            <w:pPr>
              <w:spacing w:line="240" w:lineRule="auto"/>
              <w:ind w:firstLine="0" w:firstLineChars="0"/>
              <w:jc w:val="center"/>
              <w:rPr>
                <w:rFonts w:eastAsia="宋体" w:cs="Times New Roman"/>
                <w:b/>
                <w:bCs/>
                <w:sz w:val="20"/>
                <w:szCs w:val="20"/>
              </w:rPr>
            </w:pPr>
          </w:p>
        </w:tc>
        <w:tc>
          <w:tcPr>
            <w:tcW w:w="747" w:type="pct"/>
            <w:vMerge w:val="continue"/>
            <w:shd w:val="clear" w:color="000000" w:fill="FFFFFF"/>
            <w:vAlign w:val="center"/>
          </w:tcPr>
          <w:p w14:paraId="6CC1F5E3">
            <w:pPr>
              <w:spacing w:line="240" w:lineRule="auto"/>
              <w:ind w:firstLine="0" w:firstLineChars="0"/>
              <w:jc w:val="center"/>
              <w:rPr>
                <w:rFonts w:eastAsia="宋体" w:cs="Times New Roman"/>
                <w:sz w:val="20"/>
                <w:szCs w:val="20"/>
              </w:rPr>
            </w:pPr>
          </w:p>
        </w:tc>
        <w:tc>
          <w:tcPr>
            <w:tcW w:w="862" w:type="pct"/>
            <w:vMerge w:val="continue"/>
            <w:shd w:val="clear" w:color="000000" w:fill="FFFFFF"/>
            <w:vAlign w:val="center"/>
          </w:tcPr>
          <w:p w14:paraId="6802F4BB">
            <w:pPr>
              <w:spacing w:line="240" w:lineRule="auto"/>
              <w:ind w:firstLine="0" w:firstLineChars="0"/>
              <w:jc w:val="center"/>
              <w:rPr>
                <w:rFonts w:eastAsia="宋体" w:cs="Times New Roman"/>
                <w:sz w:val="20"/>
                <w:szCs w:val="20"/>
              </w:rPr>
            </w:pPr>
          </w:p>
        </w:tc>
        <w:tc>
          <w:tcPr>
            <w:tcW w:w="1110" w:type="pct"/>
            <w:shd w:val="clear" w:color="000000" w:fill="FFFFFF"/>
            <w:vAlign w:val="center"/>
          </w:tcPr>
          <w:p w14:paraId="5473A018">
            <w:pPr>
              <w:spacing w:line="240" w:lineRule="auto"/>
              <w:ind w:firstLine="0" w:firstLineChars="0"/>
              <w:jc w:val="center"/>
              <w:rPr>
                <w:rFonts w:eastAsia="宋体" w:cs="Times New Roman"/>
                <w:sz w:val="20"/>
                <w:szCs w:val="20"/>
              </w:rPr>
            </w:pPr>
            <w:r>
              <w:rPr>
                <w:rFonts w:eastAsia="宋体" w:cs="Times New Roman"/>
                <w:sz w:val="20"/>
                <w:szCs w:val="20"/>
              </w:rPr>
              <w:t>补助被征地农民支出</w:t>
            </w:r>
          </w:p>
        </w:tc>
        <w:tc>
          <w:tcPr>
            <w:tcW w:w="886" w:type="pct"/>
            <w:shd w:val="clear" w:color="000000" w:fill="FFFFFF"/>
            <w:vAlign w:val="center"/>
          </w:tcPr>
          <w:p w14:paraId="72D1A3B7">
            <w:pPr>
              <w:spacing w:line="240" w:lineRule="auto"/>
              <w:ind w:firstLine="0" w:firstLineChars="0"/>
              <w:jc w:val="center"/>
              <w:rPr>
                <w:rFonts w:eastAsia="宋体" w:cs="Times New Roman"/>
                <w:sz w:val="20"/>
                <w:szCs w:val="20"/>
              </w:rPr>
            </w:pPr>
            <w:r>
              <w:rPr>
                <w:rFonts w:eastAsia="宋体" w:cs="Times New Roman"/>
                <w:sz w:val="20"/>
                <w:szCs w:val="20"/>
              </w:rPr>
              <w:t>17199.30</w:t>
            </w:r>
          </w:p>
        </w:tc>
        <w:tc>
          <w:tcPr>
            <w:tcW w:w="700" w:type="pct"/>
            <w:shd w:val="clear" w:color="000000" w:fill="FFFFFF"/>
            <w:vAlign w:val="center"/>
          </w:tcPr>
          <w:p w14:paraId="6F828C01">
            <w:pPr>
              <w:spacing w:line="240" w:lineRule="auto"/>
              <w:ind w:firstLine="0" w:firstLineChars="0"/>
              <w:jc w:val="center"/>
              <w:rPr>
                <w:rFonts w:eastAsia="宋体" w:cs="Times New Roman"/>
                <w:sz w:val="20"/>
                <w:szCs w:val="20"/>
              </w:rPr>
            </w:pPr>
            <w:r>
              <w:rPr>
                <w:rFonts w:eastAsia="宋体" w:cs="Times New Roman"/>
                <w:sz w:val="20"/>
                <w:szCs w:val="20"/>
              </w:rPr>
              <w:t>17199.30</w:t>
            </w:r>
          </w:p>
        </w:tc>
      </w:tr>
      <w:tr w14:paraId="5E056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694" w:type="pct"/>
            <w:vMerge w:val="continue"/>
            <w:vAlign w:val="center"/>
          </w:tcPr>
          <w:p w14:paraId="41E86EC6">
            <w:pPr>
              <w:spacing w:line="240" w:lineRule="auto"/>
              <w:ind w:firstLine="0" w:firstLineChars="0"/>
              <w:jc w:val="center"/>
              <w:rPr>
                <w:rFonts w:eastAsia="宋体" w:cs="Times New Roman"/>
                <w:b/>
                <w:bCs/>
                <w:sz w:val="20"/>
                <w:szCs w:val="20"/>
              </w:rPr>
            </w:pPr>
          </w:p>
        </w:tc>
        <w:tc>
          <w:tcPr>
            <w:tcW w:w="747" w:type="pct"/>
            <w:vMerge w:val="continue"/>
            <w:shd w:val="clear" w:color="000000" w:fill="FFFFFF"/>
            <w:vAlign w:val="center"/>
          </w:tcPr>
          <w:p w14:paraId="0CEE6FC9">
            <w:pPr>
              <w:spacing w:line="240" w:lineRule="auto"/>
              <w:ind w:firstLine="0" w:firstLineChars="0"/>
              <w:jc w:val="center"/>
              <w:rPr>
                <w:rFonts w:eastAsia="宋体" w:cs="Times New Roman"/>
                <w:sz w:val="20"/>
                <w:szCs w:val="20"/>
              </w:rPr>
            </w:pPr>
          </w:p>
        </w:tc>
        <w:tc>
          <w:tcPr>
            <w:tcW w:w="862" w:type="pct"/>
            <w:vMerge w:val="continue"/>
            <w:shd w:val="clear" w:color="000000" w:fill="FFFFFF"/>
            <w:vAlign w:val="center"/>
          </w:tcPr>
          <w:p w14:paraId="32431AEE">
            <w:pPr>
              <w:spacing w:line="240" w:lineRule="auto"/>
              <w:ind w:firstLine="0" w:firstLineChars="0"/>
              <w:jc w:val="center"/>
              <w:rPr>
                <w:rFonts w:eastAsia="宋体" w:cs="Times New Roman"/>
                <w:sz w:val="20"/>
                <w:szCs w:val="20"/>
              </w:rPr>
            </w:pPr>
          </w:p>
        </w:tc>
        <w:tc>
          <w:tcPr>
            <w:tcW w:w="1110" w:type="pct"/>
            <w:shd w:val="clear" w:color="000000" w:fill="FFFFFF"/>
            <w:vAlign w:val="center"/>
          </w:tcPr>
          <w:p w14:paraId="536CFD0B">
            <w:pPr>
              <w:spacing w:line="240" w:lineRule="auto"/>
              <w:ind w:firstLine="0" w:firstLineChars="0"/>
              <w:jc w:val="center"/>
              <w:rPr>
                <w:rFonts w:eastAsia="宋体" w:cs="Times New Roman"/>
                <w:sz w:val="20"/>
                <w:szCs w:val="20"/>
              </w:rPr>
            </w:pPr>
            <w:r>
              <w:rPr>
                <w:rFonts w:eastAsia="宋体" w:cs="Times New Roman"/>
                <w:sz w:val="20"/>
                <w:szCs w:val="20"/>
              </w:rPr>
              <w:t>土地出让业务支出</w:t>
            </w:r>
          </w:p>
        </w:tc>
        <w:tc>
          <w:tcPr>
            <w:tcW w:w="886" w:type="pct"/>
            <w:shd w:val="clear" w:color="000000" w:fill="FFFFFF"/>
            <w:vAlign w:val="center"/>
          </w:tcPr>
          <w:p w14:paraId="17346E02">
            <w:pPr>
              <w:spacing w:line="240" w:lineRule="auto"/>
              <w:ind w:firstLine="0" w:firstLineChars="0"/>
              <w:jc w:val="center"/>
              <w:rPr>
                <w:rFonts w:eastAsia="宋体" w:cs="Times New Roman"/>
                <w:sz w:val="20"/>
                <w:szCs w:val="20"/>
              </w:rPr>
            </w:pPr>
            <w:r>
              <w:rPr>
                <w:rFonts w:eastAsia="宋体" w:cs="Times New Roman"/>
                <w:sz w:val="20"/>
                <w:szCs w:val="20"/>
              </w:rPr>
              <w:t>200.00</w:t>
            </w:r>
          </w:p>
        </w:tc>
        <w:tc>
          <w:tcPr>
            <w:tcW w:w="700" w:type="pct"/>
            <w:shd w:val="clear" w:color="000000" w:fill="FFFFFF"/>
            <w:vAlign w:val="center"/>
          </w:tcPr>
          <w:p w14:paraId="516D027D">
            <w:pPr>
              <w:spacing w:line="240" w:lineRule="auto"/>
              <w:ind w:firstLine="0" w:firstLineChars="0"/>
              <w:jc w:val="center"/>
              <w:rPr>
                <w:rFonts w:eastAsia="宋体" w:cs="Times New Roman"/>
                <w:sz w:val="20"/>
                <w:szCs w:val="20"/>
              </w:rPr>
            </w:pPr>
            <w:r>
              <w:rPr>
                <w:rFonts w:eastAsia="宋体" w:cs="Times New Roman"/>
                <w:sz w:val="20"/>
                <w:szCs w:val="20"/>
              </w:rPr>
              <w:t>200.00</w:t>
            </w:r>
          </w:p>
        </w:tc>
      </w:tr>
      <w:tr w14:paraId="6F718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694" w:type="pct"/>
            <w:vMerge w:val="continue"/>
            <w:vAlign w:val="center"/>
          </w:tcPr>
          <w:p w14:paraId="100E15C6">
            <w:pPr>
              <w:spacing w:line="240" w:lineRule="auto"/>
              <w:ind w:firstLine="0" w:firstLineChars="0"/>
              <w:jc w:val="center"/>
              <w:rPr>
                <w:rFonts w:eastAsia="宋体" w:cs="Times New Roman"/>
                <w:b/>
                <w:bCs/>
                <w:sz w:val="20"/>
                <w:szCs w:val="20"/>
              </w:rPr>
            </w:pPr>
          </w:p>
        </w:tc>
        <w:tc>
          <w:tcPr>
            <w:tcW w:w="747" w:type="pct"/>
            <w:vMerge w:val="continue"/>
            <w:shd w:val="clear" w:color="000000" w:fill="FFFFFF"/>
            <w:vAlign w:val="center"/>
          </w:tcPr>
          <w:p w14:paraId="07660BE0">
            <w:pPr>
              <w:spacing w:line="240" w:lineRule="auto"/>
              <w:ind w:firstLine="0" w:firstLineChars="0"/>
              <w:jc w:val="center"/>
              <w:rPr>
                <w:rFonts w:eastAsia="宋体" w:cs="Times New Roman"/>
                <w:sz w:val="20"/>
                <w:szCs w:val="20"/>
              </w:rPr>
            </w:pPr>
          </w:p>
        </w:tc>
        <w:tc>
          <w:tcPr>
            <w:tcW w:w="862" w:type="pct"/>
            <w:shd w:val="clear" w:color="000000" w:fill="FFFFFF"/>
            <w:vAlign w:val="center"/>
          </w:tcPr>
          <w:p w14:paraId="70E233AA">
            <w:pPr>
              <w:spacing w:line="240" w:lineRule="auto"/>
              <w:ind w:firstLine="0" w:firstLineChars="0"/>
              <w:jc w:val="center"/>
              <w:rPr>
                <w:rFonts w:eastAsia="宋体" w:cs="Times New Roman"/>
                <w:sz w:val="20"/>
                <w:szCs w:val="20"/>
              </w:rPr>
            </w:pPr>
            <w:r>
              <w:rPr>
                <w:rFonts w:eastAsia="宋体" w:cs="Times New Roman"/>
                <w:sz w:val="20"/>
                <w:szCs w:val="20"/>
              </w:rPr>
              <w:t>国有土地收益基金安排的支出</w:t>
            </w:r>
          </w:p>
        </w:tc>
        <w:tc>
          <w:tcPr>
            <w:tcW w:w="1110" w:type="pct"/>
            <w:shd w:val="clear" w:color="000000" w:fill="FFFFFF"/>
            <w:vAlign w:val="center"/>
          </w:tcPr>
          <w:p w14:paraId="30E4EFCE">
            <w:pPr>
              <w:spacing w:line="240" w:lineRule="auto"/>
              <w:ind w:firstLine="0" w:firstLineChars="0"/>
              <w:jc w:val="center"/>
              <w:rPr>
                <w:rFonts w:eastAsia="宋体" w:cs="Times New Roman"/>
                <w:sz w:val="20"/>
                <w:szCs w:val="20"/>
              </w:rPr>
            </w:pPr>
            <w:r>
              <w:rPr>
                <w:rFonts w:eastAsia="宋体" w:cs="Times New Roman"/>
                <w:sz w:val="20"/>
                <w:szCs w:val="20"/>
              </w:rPr>
              <w:t>征地和拆迁补偿支出</w:t>
            </w:r>
          </w:p>
        </w:tc>
        <w:tc>
          <w:tcPr>
            <w:tcW w:w="886" w:type="pct"/>
            <w:shd w:val="clear" w:color="000000" w:fill="FFFFFF"/>
            <w:vAlign w:val="center"/>
          </w:tcPr>
          <w:p w14:paraId="59D06CCE">
            <w:pPr>
              <w:spacing w:line="240" w:lineRule="auto"/>
              <w:ind w:firstLine="0" w:firstLineChars="0"/>
              <w:jc w:val="center"/>
              <w:rPr>
                <w:rFonts w:eastAsia="宋体" w:cs="Times New Roman"/>
                <w:sz w:val="20"/>
                <w:szCs w:val="20"/>
              </w:rPr>
            </w:pPr>
            <w:r>
              <w:rPr>
                <w:rFonts w:eastAsia="宋体" w:cs="Times New Roman"/>
                <w:sz w:val="20"/>
                <w:szCs w:val="20"/>
              </w:rPr>
              <w:t>2485.02</w:t>
            </w:r>
          </w:p>
        </w:tc>
        <w:tc>
          <w:tcPr>
            <w:tcW w:w="700" w:type="pct"/>
            <w:shd w:val="clear" w:color="000000" w:fill="FFFFFF"/>
            <w:vAlign w:val="center"/>
          </w:tcPr>
          <w:p w14:paraId="2BEAF2CE">
            <w:pPr>
              <w:spacing w:line="240" w:lineRule="auto"/>
              <w:ind w:firstLine="0" w:firstLineChars="0"/>
              <w:jc w:val="center"/>
              <w:rPr>
                <w:rFonts w:eastAsia="宋体" w:cs="Times New Roman"/>
                <w:sz w:val="20"/>
                <w:szCs w:val="20"/>
              </w:rPr>
            </w:pPr>
            <w:r>
              <w:rPr>
                <w:rFonts w:eastAsia="宋体" w:cs="Times New Roman"/>
                <w:sz w:val="20"/>
                <w:szCs w:val="20"/>
              </w:rPr>
              <w:t>2485.02</w:t>
            </w:r>
          </w:p>
        </w:tc>
      </w:tr>
      <w:tr w14:paraId="77667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694" w:type="pct"/>
            <w:vMerge w:val="continue"/>
            <w:vAlign w:val="center"/>
          </w:tcPr>
          <w:p w14:paraId="71250A70">
            <w:pPr>
              <w:spacing w:line="240" w:lineRule="auto"/>
              <w:ind w:firstLine="0" w:firstLineChars="0"/>
              <w:jc w:val="center"/>
              <w:rPr>
                <w:rFonts w:eastAsia="宋体" w:cs="Times New Roman"/>
                <w:b/>
                <w:bCs/>
                <w:sz w:val="20"/>
                <w:szCs w:val="20"/>
              </w:rPr>
            </w:pPr>
          </w:p>
        </w:tc>
        <w:tc>
          <w:tcPr>
            <w:tcW w:w="747" w:type="pct"/>
            <w:vMerge w:val="restart"/>
            <w:shd w:val="clear" w:color="000000" w:fill="FFFFFF"/>
            <w:vAlign w:val="center"/>
          </w:tcPr>
          <w:p w14:paraId="350E55E9">
            <w:pPr>
              <w:spacing w:line="240" w:lineRule="auto"/>
              <w:ind w:firstLine="0" w:firstLineChars="0"/>
              <w:jc w:val="center"/>
              <w:rPr>
                <w:rFonts w:eastAsia="宋体" w:cs="Times New Roman"/>
                <w:sz w:val="20"/>
                <w:szCs w:val="20"/>
              </w:rPr>
            </w:pPr>
            <w:r>
              <w:rPr>
                <w:rFonts w:eastAsia="宋体" w:cs="Times New Roman"/>
                <w:sz w:val="20"/>
                <w:szCs w:val="20"/>
              </w:rPr>
              <w:t>农业水支出</w:t>
            </w:r>
          </w:p>
        </w:tc>
        <w:tc>
          <w:tcPr>
            <w:tcW w:w="862" w:type="pct"/>
            <w:vMerge w:val="restart"/>
            <w:shd w:val="clear" w:color="000000" w:fill="FFFFFF"/>
            <w:vAlign w:val="center"/>
          </w:tcPr>
          <w:p w14:paraId="0202A2CA">
            <w:pPr>
              <w:spacing w:line="240" w:lineRule="auto"/>
              <w:ind w:firstLine="0" w:firstLineChars="0"/>
              <w:jc w:val="center"/>
              <w:rPr>
                <w:rFonts w:eastAsia="宋体" w:cs="Times New Roman"/>
                <w:sz w:val="20"/>
                <w:szCs w:val="20"/>
              </w:rPr>
            </w:pPr>
            <w:r>
              <w:rPr>
                <w:rFonts w:eastAsia="宋体" w:cs="Times New Roman"/>
                <w:sz w:val="20"/>
                <w:szCs w:val="20"/>
              </w:rPr>
              <w:t>林业和草原</w:t>
            </w:r>
          </w:p>
        </w:tc>
        <w:tc>
          <w:tcPr>
            <w:tcW w:w="1110" w:type="pct"/>
            <w:shd w:val="clear" w:color="000000" w:fill="FFFFFF"/>
            <w:vAlign w:val="center"/>
          </w:tcPr>
          <w:p w14:paraId="3A2BDC60">
            <w:pPr>
              <w:spacing w:line="240" w:lineRule="auto"/>
              <w:ind w:firstLine="0" w:firstLineChars="0"/>
              <w:jc w:val="center"/>
              <w:rPr>
                <w:rFonts w:eastAsia="宋体" w:cs="Times New Roman"/>
                <w:sz w:val="20"/>
                <w:szCs w:val="20"/>
              </w:rPr>
            </w:pPr>
            <w:r>
              <w:rPr>
                <w:rFonts w:eastAsia="宋体" w:cs="Times New Roman"/>
                <w:sz w:val="20"/>
                <w:szCs w:val="20"/>
              </w:rPr>
              <w:t>森林资源培育</w:t>
            </w:r>
          </w:p>
        </w:tc>
        <w:tc>
          <w:tcPr>
            <w:tcW w:w="886" w:type="pct"/>
            <w:shd w:val="clear" w:color="000000" w:fill="FFFFFF"/>
            <w:vAlign w:val="center"/>
          </w:tcPr>
          <w:p w14:paraId="3FB2232C">
            <w:pPr>
              <w:spacing w:line="240" w:lineRule="auto"/>
              <w:ind w:firstLine="0" w:firstLineChars="0"/>
              <w:jc w:val="center"/>
              <w:rPr>
                <w:rFonts w:eastAsia="宋体" w:cs="Times New Roman"/>
                <w:sz w:val="20"/>
                <w:szCs w:val="20"/>
              </w:rPr>
            </w:pPr>
            <w:r>
              <w:rPr>
                <w:rFonts w:eastAsia="宋体" w:cs="Times New Roman"/>
                <w:sz w:val="20"/>
                <w:szCs w:val="20"/>
              </w:rPr>
              <w:t>76.09</w:t>
            </w:r>
          </w:p>
        </w:tc>
        <w:tc>
          <w:tcPr>
            <w:tcW w:w="700" w:type="pct"/>
            <w:shd w:val="clear" w:color="000000" w:fill="FFFFFF"/>
            <w:vAlign w:val="center"/>
          </w:tcPr>
          <w:p w14:paraId="2FFC26BA">
            <w:pPr>
              <w:spacing w:line="240" w:lineRule="auto"/>
              <w:ind w:firstLine="0" w:firstLineChars="0"/>
              <w:jc w:val="center"/>
              <w:rPr>
                <w:rFonts w:eastAsia="宋体" w:cs="Times New Roman"/>
                <w:sz w:val="20"/>
                <w:szCs w:val="20"/>
              </w:rPr>
            </w:pPr>
            <w:r>
              <w:rPr>
                <w:rFonts w:eastAsia="宋体" w:cs="Times New Roman"/>
                <w:sz w:val="20"/>
                <w:szCs w:val="20"/>
              </w:rPr>
              <w:t>76.09</w:t>
            </w:r>
          </w:p>
        </w:tc>
      </w:tr>
      <w:tr w14:paraId="3AAA9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694" w:type="pct"/>
            <w:vMerge w:val="continue"/>
            <w:vAlign w:val="center"/>
          </w:tcPr>
          <w:p w14:paraId="31ADCC9B">
            <w:pPr>
              <w:spacing w:line="240" w:lineRule="auto"/>
              <w:ind w:firstLine="0" w:firstLineChars="0"/>
              <w:jc w:val="center"/>
              <w:rPr>
                <w:rFonts w:eastAsia="宋体" w:cs="Times New Roman"/>
                <w:b/>
                <w:bCs/>
                <w:sz w:val="20"/>
                <w:szCs w:val="20"/>
              </w:rPr>
            </w:pPr>
          </w:p>
        </w:tc>
        <w:tc>
          <w:tcPr>
            <w:tcW w:w="747" w:type="pct"/>
            <w:vMerge w:val="continue"/>
            <w:shd w:val="clear" w:color="000000" w:fill="FFFFFF"/>
            <w:vAlign w:val="center"/>
          </w:tcPr>
          <w:p w14:paraId="738F1A1E">
            <w:pPr>
              <w:spacing w:line="240" w:lineRule="auto"/>
              <w:ind w:firstLine="0" w:firstLineChars="0"/>
              <w:jc w:val="center"/>
              <w:rPr>
                <w:rFonts w:eastAsia="宋体" w:cs="Times New Roman"/>
                <w:sz w:val="20"/>
                <w:szCs w:val="20"/>
              </w:rPr>
            </w:pPr>
          </w:p>
        </w:tc>
        <w:tc>
          <w:tcPr>
            <w:tcW w:w="862" w:type="pct"/>
            <w:vMerge w:val="continue"/>
            <w:shd w:val="clear" w:color="000000" w:fill="FFFFFF"/>
            <w:vAlign w:val="center"/>
          </w:tcPr>
          <w:p w14:paraId="53E9D97F">
            <w:pPr>
              <w:spacing w:line="240" w:lineRule="auto"/>
              <w:ind w:firstLine="0" w:firstLineChars="0"/>
              <w:jc w:val="center"/>
              <w:rPr>
                <w:rFonts w:eastAsia="宋体" w:cs="Times New Roman"/>
                <w:sz w:val="20"/>
                <w:szCs w:val="20"/>
              </w:rPr>
            </w:pPr>
          </w:p>
        </w:tc>
        <w:tc>
          <w:tcPr>
            <w:tcW w:w="1110" w:type="pct"/>
            <w:shd w:val="clear" w:color="000000" w:fill="FFFFFF"/>
            <w:vAlign w:val="center"/>
          </w:tcPr>
          <w:p w14:paraId="4D49CCDB">
            <w:pPr>
              <w:spacing w:line="240" w:lineRule="auto"/>
              <w:ind w:firstLine="0" w:firstLineChars="0"/>
              <w:jc w:val="center"/>
              <w:rPr>
                <w:rFonts w:eastAsia="宋体" w:cs="Times New Roman"/>
                <w:sz w:val="20"/>
                <w:szCs w:val="20"/>
              </w:rPr>
            </w:pPr>
            <w:r>
              <w:rPr>
                <w:rFonts w:eastAsia="宋体" w:cs="Times New Roman"/>
                <w:sz w:val="20"/>
                <w:szCs w:val="20"/>
              </w:rPr>
              <w:t>森林资源管理</w:t>
            </w:r>
          </w:p>
        </w:tc>
        <w:tc>
          <w:tcPr>
            <w:tcW w:w="886" w:type="pct"/>
            <w:shd w:val="clear" w:color="000000" w:fill="FFFFFF"/>
            <w:vAlign w:val="center"/>
          </w:tcPr>
          <w:p w14:paraId="2344C0BB">
            <w:pPr>
              <w:spacing w:line="240" w:lineRule="auto"/>
              <w:ind w:firstLine="0" w:firstLineChars="0"/>
              <w:jc w:val="center"/>
              <w:rPr>
                <w:rFonts w:eastAsia="宋体" w:cs="Times New Roman"/>
                <w:sz w:val="20"/>
                <w:szCs w:val="20"/>
              </w:rPr>
            </w:pPr>
            <w:r>
              <w:rPr>
                <w:rFonts w:eastAsia="宋体" w:cs="Times New Roman"/>
                <w:sz w:val="20"/>
                <w:szCs w:val="20"/>
              </w:rPr>
              <w:t>165.06</w:t>
            </w:r>
          </w:p>
        </w:tc>
        <w:tc>
          <w:tcPr>
            <w:tcW w:w="700" w:type="pct"/>
            <w:shd w:val="clear" w:color="000000" w:fill="FFFFFF"/>
            <w:vAlign w:val="center"/>
          </w:tcPr>
          <w:p w14:paraId="1FA2913D">
            <w:pPr>
              <w:spacing w:line="240" w:lineRule="auto"/>
              <w:ind w:firstLine="0" w:firstLineChars="0"/>
              <w:jc w:val="center"/>
              <w:rPr>
                <w:rFonts w:eastAsia="宋体" w:cs="Times New Roman"/>
                <w:sz w:val="20"/>
                <w:szCs w:val="20"/>
              </w:rPr>
            </w:pPr>
            <w:r>
              <w:rPr>
                <w:rFonts w:eastAsia="宋体" w:cs="Times New Roman"/>
                <w:sz w:val="20"/>
                <w:szCs w:val="20"/>
              </w:rPr>
              <w:t>165.06</w:t>
            </w:r>
          </w:p>
        </w:tc>
      </w:tr>
      <w:tr w14:paraId="1CDC7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694" w:type="pct"/>
            <w:vMerge w:val="continue"/>
            <w:vAlign w:val="center"/>
          </w:tcPr>
          <w:p w14:paraId="3DD6EE8C">
            <w:pPr>
              <w:spacing w:line="240" w:lineRule="auto"/>
              <w:ind w:firstLine="0" w:firstLineChars="0"/>
              <w:jc w:val="center"/>
              <w:rPr>
                <w:rFonts w:eastAsia="宋体" w:cs="Times New Roman"/>
                <w:b/>
                <w:bCs/>
                <w:sz w:val="20"/>
                <w:szCs w:val="20"/>
              </w:rPr>
            </w:pPr>
          </w:p>
        </w:tc>
        <w:tc>
          <w:tcPr>
            <w:tcW w:w="747" w:type="pct"/>
            <w:vMerge w:val="continue"/>
            <w:shd w:val="clear" w:color="000000" w:fill="FFFFFF"/>
            <w:vAlign w:val="center"/>
          </w:tcPr>
          <w:p w14:paraId="798A4321">
            <w:pPr>
              <w:spacing w:line="240" w:lineRule="auto"/>
              <w:ind w:firstLine="0" w:firstLineChars="0"/>
              <w:jc w:val="center"/>
              <w:rPr>
                <w:rFonts w:eastAsia="宋体" w:cs="Times New Roman"/>
                <w:sz w:val="20"/>
                <w:szCs w:val="20"/>
              </w:rPr>
            </w:pPr>
          </w:p>
        </w:tc>
        <w:tc>
          <w:tcPr>
            <w:tcW w:w="862" w:type="pct"/>
            <w:vMerge w:val="continue"/>
            <w:shd w:val="clear" w:color="000000" w:fill="FFFFFF"/>
            <w:vAlign w:val="center"/>
          </w:tcPr>
          <w:p w14:paraId="483E33C3">
            <w:pPr>
              <w:spacing w:line="240" w:lineRule="auto"/>
              <w:ind w:firstLine="0" w:firstLineChars="0"/>
              <w:jc w:val="center"/>
              <w:rPr>
                <w:rFonts w:eastAsia="宋体" w:cs="Times New Roman"/>
                <w:sz w:val="20"/>
                <w:szCs w:val="20"/>
              </w:rPr>
            </w:pPr>
          </w:p>
        </w:tc>
        <w:tc>
          <w:tcPr>
            <w:tcW w:w="1110" w:type="pct"/>
            <w:shd w:val="clear" w:color="000000" w:fill="FFFFFF"/>
            <w:vAlign w:val="center"/>
          </w:tcPr>
          <w:p w14:paraId="1554938A">
            <w:pPr>
              <w:spacing w:line="240" w:lineRule="auto"/>
              <w:ind w:firstLine="0" w:firstLineChars="0"/>
              <w:jc w:val="center"/>
              <w:rPr>
                <w:rFonts w:eastAsia="宋体" w:cs="Times New Roman"/>
                <w:sz w:val="20"/>
                <w:szCs w:val="20"/>
              </w:rPr>
            </w:pPr>
            <w:r>
              <w:rPr>
                <w:rFonts w:eastAsia="宋体" w:cs="Times New Roman"/>
                <w:sz w:val="20"/>
                <w:szCs w:val="20"/>
              </w:rPr>
              <w:t>森林生态效益补偿</w:t>
            </w:r>
          </w:p>
        </w:tc>
        <w:tc>
          <w:tcPr>
            <w:tcW w:w="886" w:type="pct"/>
            <w:shd w:val="clear" w:color="000000" w:fill="FFFFFF"/>
            <w:vAlign w:val="center"/>
          </w:tcPr>
          <w:p w14:paraId="68ACC47C">
            <w:pPr>
              <w:spacing w:line="240" w:lineRule="auto"/>
              <w:ind w:firstLine="0" w:firstLineChars="0"/>
              <w:jc w:val="center"/>
              <w:rPr>
                <w:rFonts w:eastAsia="宋体" w:cs="Times New Roman"/>
                <w:sz w:val="20"/>
                <w:szCs w:val="20"/>
              </w:rPr>
            </w:pPr>
            <w:r>
              <w:rPr>
                <w:rFonts w:eastAsia="宋体" w:cs="Times New Roman"/>
                <w:sz w:val="20"/>
                <w:szCs w:val="20"/>
              </w:rPr>
              <w:t>357.24</w:t>
            </w:r>
          </w:p>
        </w:tc>
        <w:tc>
          <w:tcPr>
            <w:tcW w:w="700" w:type="pct"/>
            <w:shd w:val="clear" w:color="000000" w:fill="FFFFFF"/>
            <w:vAlign w:val="center"/>
          </w:tcPr>
          <w:p w14:paraId="46FAC175">
            <w:pPr>
              <w:spacing w:line="240" w:lineRule="auto"/>
              <w:ind w:firstLine="0" w:firstLineChars="0"/>
              <w:jc w:val="center"/>
              <w:rPr>
                <w:rFonts w:eastAsia="宋体" w:cs="Times New Roman"/>
                <w:sz w:val="20"/>
                <w:szCs w:val="20"/>
              </w:rPr>
            </w:pPr>
            <w:r>
              <w:rPr>
                <w:rFonts w:eastAsia="宋体" w:cs="Times New Roman"/>
                <w:sz w:val="20"/>
                <w:szCs w:val="20"/>
              </w:rPr>
              <w:t>357.24</w:t>
            </w:r>
          </w:p>
        </w:tc>
      </w:tr>
      <w:tr w14:paraId="7D13F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694" w:type="pct"/>
            <w:vMerge w:val="continue"/>
            <w:vAlign w:val="center"/>
          </w:tcPr>
          <w:p w14:paraId="5175CB7E">
            <w:pPr>
              <w:spacing w:line="240" w:lineRule="auto"/>
              <w:ind w:firstLine="0" w:firstLineChars="0"/>
              <w:jc w:val="center"/>
              <w:rPr>
                <w:rFonts w:eastAsia="宋体" w:cs="Times New Roman"/>
                <w:b/>
                <w:bCs/>
                <w:sz w:val="20"/>
                <w:szCs w:val="20"/>
              </w:rPr>
            </w:pPr>
          </w:p>
        </w:tc>
        <w:tc>
          <w:tcPr>
            <w:tcW w:w="747" w:type="pct"/>
            <w:vMerge w:val="continue"/>
            <w:shd w:val="clear" w:color="000000" w:fill="FFFFFF"/>
            <w:vAlign w:val="center"/>
          </w:tcPr>
          <w:p w14:paraId="2F0C94C4">
            <w:pPr>
              <w:spacing w:line="240" w:lineRule="auto"/>
              <w:ind w:firstLine="0" w:firstLineChars="0"/>
              <w:jc w:val="center"/>
              <w:rPr>
                <w:rFonts w:eastAsia="宋体" w:cs="Times New Roman"/>
                <w:sz w:val="20"/>
                <w:szCs w:val="20"/>
              </w:rPr>
            </w:pPr>
          </w:p>
        </w:tc>
        <w:tc>
          <w:tcPr>
            <w:tcW w:w="862" w:type="pct"/>
            <w:vMerge w:val="continue"/>
            <w:shd w:val="clear" w:color="000000" w:fill="FFFFFF"/>
            <w:vAlign w:val="center"/>
          </w:tcPr>
          <w:p w14:paraId="10B3DD93">
            <w:pPr>
              <w:spacing w:line="240" w:lineRule="auto"/>
              <w:ind w:firstLine="0" w:firstLineChars="0"/>
              <w:jc w:val="center"/>
              <w:rPr>
                <w:rFonts w:eastAsia="宋体" w:cs="Times New Roman"/>
                <w:sz w:val="20"/>
                <w:szCs w:val="20"/>
              </w:rPr>
            </w:pPr>
          </w:p>
        </w:tc>
        <w:tc>
          <w:tcPr>
            <w:tcW w:w="1110" w:type="pct"/>
            <w:shd w:val="clear" w:color="000000" w:fill="FFFFFF"/>
            <w:vAlign w:val="center"/>
          </w:tcPr>
          <w:p w14:paraId="5F4816FC">
            <w:pPr>
              <w:spacing w:line="240" w:lineRule="auto"/>
              <w:ind w:firstLine="0" w:firstLineChars="0"/>
              <w:jc w:val="center"/>
              <w:rPr>
                <w:rFonts w:eastAsia="宋体" w:cs="Times New Roman"/>
                <w:sz w:val="20"/>
                <w:szCs w:val="20"/>
              </w:rPr>
            </w:pPr>
            <w:r>
              <w:rPr>
                <w:rFonts w:eastAsia="宋体" w:cs="Times New Roman"/>
                <w:sz w:val="20"/>
                <w:szCs w:val="20"/>
              </w:rPr>
              <w:t>自然保护区等管理</w:t>
            </w:r>
          </w:p>
        </w:tc>
        <w:tc>
          <w:tcPr>
            <w:tcW w:w="886" w:type="pct"/>
            <w:shd w:val="clear" w:color="000000" w:fill="FFFFFF"/>
            <w:vAlign w:val="center"/>
          </w:tcPr>
          <w:p w14:paraId="6BA69F6E">
            <w:pPr>
              <w:spacing w:line="240" w:lineRule="auto"/>
              <w:ind w:firstLine="0" w:firstLineChars="0"/>
              <w:jc w:val="center"/>
              <w:rPr>
                <w:rFonts w:eastAsia="宋体" w:cs="Times New Roman"/>
                <w:sz w:val="20"/>
                <w:szCs w:val="20"/>
              </w:rPr>
            </w:pPr>
            <w:r>
              <w:rPr>
                <w:rFonts w:eastAsia="宋体" w:cs="Times New Roman"/>
                <w:sz w:val="20"/>
                <w:szCs w:val="20"/>
              </w:rPr>
              <w:t>87.81</w:t>
            </w:r>
          </w:p>
        </w:tc>
        <w:tc>
          <w:tcPr>
            <w:tcW w:w="700" w:type="pct"/>
            <w:shd w:val="clear" w:color="000000" w:fill="FFFFFF"/>
            <w:vAlign w:val="center"/>
          </w:tcPr>
          <w:p w14:paraId="723F2FA6">
            <w:pPr>
              <w:spacing w:line="240" w:lineRule="auto"/>
              <w:ind w:firstLine="0" w:firstLineChars="0"/>
              <w:jc w:val="center"/>
              <w:rPr>
                <w:rFonts w:eastAsia="宋体" w:cs="Times New Roman"/>
                <w:sz w:val="20"/>
                <w:szCs w:val="20"/>
              </w:rPr>
            </w:pPr>
            <w:r>
              <w:rPr>
                <w:rFonts w:eastAsia="宋体" w:cs="Times New Roman"/>
                <w:sz w:val="20"/>
                <w:szCs w:val="20"/>
              </w:rPr>
              <w:t>87.81</w:t>
            </w:r>
          </w:p>
        </w:tc>
      </w:tr>
      <w:tr w14:paraId="35984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694" w:type="pct"/>
            <w:vMerge w:val="continue"/>
            <w:vAlign w:val="center"/>
          </w:tcPr>
          <w:p w14:paraId="02858790">
            <w:pPr>
              <w:spacing w:line="240" w:lineRule="auto"/>
              <w:ind w:firstLine="0" w:firstLineChars="0"/>
              <w:jc w:val="center"/>
              <w:rPr>
                <w:rFonts w:eastAsia="宋体" w:cs="Times New Roman"/>
                <w:b/>
                <w:bCs/>
                <w:sz w:val="20"/>
                <w:szCs w:val="20"/>
              </w:rPr>
            </w:pPr>
          </w:p>
        </w:tc>
        <w:tc>
          <w:tcPr>
            <w:tcW w:w="747" w:type="pct"/>
            <w:vMerge w:val="continue"/>
            <w:shd w:val="clear" w:color="000000" w:fill="FFFFFF"/>
            <w:vAlign w:val="center"/>
          </w:tcPr>
          <w:p w14:paraId="57AE4D64">
            <w:pPr>
              <w:spacing w:line="240" w:lineRule="auto"/>
              <w:ind w:firstLine="0" w:firstLineChars="0"/>
              <w:jc w:val="center"/>
              <w:rPr>
                <w:rFonts w:eastAsia="宋体" w:cs="Times New Roman"/>
                <w:sz w:val="20"/>
                <w:szCs w:val="20"/>
              </w:rPr>
            </w:pPr>
          </w:p>
        </w:tc>
        <w:tc>
          <w:tcPr>
            <w:tcW w:w="862" w:type="pct"/>
            <w:vMerge w:val="continue"/>
            <w:shd w:val="clear" w:color="000000" w:fill="FFFFFF"/>
            <w:vAlign w:val="center"/>
          </w:tcPr>
          <w:p w14:paraId="54DBEA5E">
            <w:pPr>
              <w:spacing w:line="240" w:lineRule="auto"/>
              <w:ind w:firstLine="0" w:firstLineChars="0"/>
              <w:jc w:val="center"/>
              <w:rPr>
                <w:rFonts w:eastAsia="宋体" w:cs="Times New Roman"/>
                <w:sz w:val="20"/>
                <w:szCs w:val="20"/>
              </w:rPr>
            </w:pPr>
          </w:p>
        </w:tc>
        <w:tc>
          <w:tcPr>
            <w:tcW w:w="1110" w:type="pct"/>
            <w:shd w:val="clear" w:color="000000" w:fill="FFFFFF"/>
            <w:vAlign w:val="center"/>
          </w:tcPr>
          <w:p w14:paraId="13BAFE5B">
            <w:pPr>
              <w:spacing w:line="240" w:lineRule="auto"/>
              <w:ind w:firstLine="0" w:firstLineChars="0"/>
              <w:jc w:val="center"/>
              <w:rPr>
                <w:rFonts w:eastAsia="宋体" w:cs="Times New Roman"/>
                <w:sz w:val="20"/>
                <w:szCs w:val="20"/>
              </w:rPr>
            </w:pPr>
            <w:r>
              <w:rPr>
                <w:rFonts w:eastAsia="宋体" w:cs="Times New Roman"/>
                <w:sz w:val="20"/>
                <w:szCs w:val="20"/>
              </w:rPr>
              <w:t>防沙治沙</w:t>
            </w:r>
          </w:p>
        </w:tc>
        <w:tc>
          <w:tcPr>
            <w:tcW w:w="886" w:type="pct"/>
            <w:shd w:val="clear" w:color="000000" w:fill="FFFFFF"/>
            <w:vAlign w:val="center"/>
          </w:tcPr>
          <w:p w14:paraId="07BC933F">
            <w:pPr>
              <w:spacing w:line="240" w:lineRule="auto"/>
              <w:ind w:firstLine="0" w:firstLineChars="0"/>
              <w:jc w:val="center"/>
              <w:rPr>
                <w:rFonts w:eastAsia="宋体" w:cs="Times New Roman"/>
                <w:sz w:val="20"/>
                <w:szCs w:val="20"/>
              </w:rPr>
            </w:pPr>
            <w:r>
              <w:rPr>
                <w:rFonts w:eastAsia="宋体" w:cs="Times New Roman"/>
                <w:sz w:val="20"/>
                <w:szCs w:val="20"/>
              </w:rPr>
              <w:t>2.00</w:t>
            </w:r>
          </w:p>
        </w:tc>
        <w:tc>
          <w:tcPr>
            <w:tcW w:w="700" w:type="pct"/>
            <w:shd w:val="clear" w:color="000000" w:fill="FFFFFF"/>
            <w:vAlign w:val="center"/>
          </w:tcPr>
          <w:p w14:paraId="6869957A">
            <w:pPr>
              <w:spacing w:line="240" w:lineRule="auto"/>
              <w:ind w:firstLine="0" w:firstLineChars="0"/>
              <w:jc w:val="center"/>
              <w:rPr>
                <w:rFonts w:eastAsia="宋体" w:cs="Times New Roman"/>
                <w:sz w:val="20"/>
                <w:szCs w:val="20"/>
              </w:rPr>
            </w:pPr>
            <w:r>
              <w:rPr>
                <w:rFonts w:eastAsia="宋体" w:cs="Times New Roman"/>
                <w:sz w:val="20"/>
                <w:szCs w:val="20"/>
              </w:rPr>
              <w:t>2.00</w:t>
            </w:r>
          </w:p>
        </w:tc>
      </w:tr>
      <w:tr w14:paraId="35541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694" w:type="pct"/>
            <w:vMerge w:val="continue"/>
            <w:vAlign w:val="center"/>
          </w:tcPr>
          <w:p w14:paraId="2F1B7922">
            <w:pPr>
              <w:spacing w:line="240" w:lineRule="auto"/>
              <w:ind w:firstLine="0" w:firstLineChars="0"/>
              <w:jc w:val="center"/>
              <w:rPr>
                <w:rFonts w:eastAsia="宋体" w:cs="Times New Roman"/>
                <w:b/>
                <w:bCs/>
                <w:sz w:val="20"/>
                <w:szCs w:val="20"/>
              </w:rPr>
            </w:pPr>
          </w:p>
        </w:tc>
        <w:tc>
          <w:tcPr>
            <w:tcW w:w="747" w:type="pct"/>
            <w:vMerge w:val="continue"/>
            <w:shd w:val="clear" w:color="000000" w:fill="FFFFFF"/>
            <w:vAlign w:val="center"/>
          </w:tcPr>
          <w:p w14:paraId="4C02E7CA">
            <w:pPr>
              <w:spacing w:line="240" w:lineRule="auto"/>
              <w:ind w:firstLine="0" w:firstLineChars="0"/>
              <w:jc w:val="center"/>
              <w:rPr>
                <w:rFonts w:eastAsia="宋体" w:cs="Times New Roman"/>
                <w:sz w:val="20"/>
                <w:szCs w:val="20"/>
              </w:rPr>
            </w:pPr>
          </w:p>
        </w:tc>
        <w:tc>
          <w:tcPr>
            <w:tcW w:w="862" w:type="pct"/>
            <w:vMerge w:val="continue"/>
            <w:shd w:val="clear" w:color="000000" w:fill="FFFFFF"/>
            <w:vAlign w:val="center"/>
          </w:tcPr>
          <w:p w14:paraId="26831371">
            <w:pPr>
              <w:spacing w:line="240" w:lineRule="auto"/>
              <w:ind w:firstLine="0" w:firstLineChars="0"/>
              <w:jc w:val="center"/>
              <w:rPr>
                <w:rFonts w:eastAsia="宋体" w:cs="Times New Roman"/>
                <w:sz w:val="20"/>
                <w:szCs w:val="20"/>
              </w:rPr>
            </w:pPr>
          </w:p>
        </w:tc>
        <w:tc>
          <w:tcPr>
            <w:tcW w:w="1110" w:type="pct"/>
            <w:shd w:val="clear" w:color="000000" w:fill="FFFFFF"/>
            <w:vAlign w:val="center"/>
          </w:tcPr>
          <w:p w14:paraId="0D8D8E7A">
            <w:pPr>
              <w:spacing w:line="240" w:lineRule="auto"/>
              <w:ind w:firstLine="0" w:firstLineChars="0"/>
              <w:jc w:val="center"/>
              <w:rPr>
                <w:rFonts w:eastAsia="宋体" w:cs="Times New Roman"/>
                <w:sz w:val="20"/>
                <w:szCs w:val="20"/>
              </w:rPr>
            </w:pPr>
            <w:r>
              <w:rPr>
                <w:rFonts w:eastAsia="宋体" w:cs="Times New Roman"/>
                <w:sz w:val="20"/>
                <w:szCs w:val="20"/>
              </w:rPr>
              <w:t>行业业务管理</w:t>
            </w:r>
          </w:p>
        </w:tc>
        <w:tc>
          <w:tcPr>
            <w:tcW w:w="886" w:type="pct"/>
            <w:shd w:val="clear" w:color="000000" w:fill="FFFFFF"/>
            <w:vAlign w:val="center"/>
          </w:tcPr>
          <w:p w14:paraId="0A9F892F">
            <w:pPr>
              <w:spacing w:line="240" w:lineRule="auto"/>
              <w:ind w:firstLine="0" w:firstLineChars="0"/>
              <w:jc w:val="center"/>
              <w:rPr>
                <w:rFonts w:eastAsia="宋体" w:cs="Times New Roman"/>
                <w:sz w:val="20"/>
                <w:szCs w:val="20"/>
              </w:rPr>
            </w:pPr>
            <w:r>
              <w:rPr>
                <w:rFonts w:eastAsia="宋体" w:cs="Times New Roman"/>
                <w:sz w:val="20"/>
                <w:szCs w:val="20"/>
              </w:rPr>
              <w:t>297.47</w:t>
            </w:r>
          </w:p>
        </w:tc>
        <w:tc>
          <w:tcPr>
            <w:tcW w:w="700" w:type="pct"/>
            <w:shd w:val="clear" w:color="000000" w:fill="FFFFFF"/>
            <w:vAlign w:val="center"/>
          </w:tcPr>
          <w:p w14:paraId="255E7FA8">
            <w:pPr>
              <w:spacing w:line="240" w:lineRule="auto"/>
              <w:ind w:firstLine="0" w:firstLineChars="0"/>
              <w:jc w:val="center"/>
              <w:rPr>
                <w:rFonts w:eastAsia="宋体" w:cs="Times New Roman"/>
                <w:sz w:val="20"/>
                <w:szCs w:val="20"/>
              </w:rPr>
            </w:pPr>
            <w:r>
              <w:rPr>
                <w:rFonts w:eastAsia="宋体" w:cs="Times New Roman"/>
                <w:sz w:val="20"/>
                <w:szCs w:val="20"/>
              </w:rPr>
              <w:t>297.47</w:t>
            </w:r>
          </w:p>
        </w:tc>
      </w:tr>
      <w:tr w14:paraId="09A0C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694" w:type="pct"/>
            <w:vMerge w:val="continue"/>
            <w:vAlign w:val="center"/>
          </w:tcPr>
          <w:p w14:paraId="750E6D43">
            <w:pPr>
              <w:spacing w:line="240" w:lineRule="auto"/>
              <w:ind w:firstLine="0" w:firstLineChars="0"/>
              <w:jc w:val="center"/>
              <w:rPr>
                <w:rFonts w:eastAsia="宋体" w:cs="Times New Roman"/>
                <w:b/>
                <w:bCs/>
                <w:sz w:val="20"/>
                <w:szCs w:val="20"/>
              </w:rPr>
            </w:pPr>
          </w:p>
        </w:tc>
        <w:tc>
          <w:tcPr>
            <w:tcW w:w="747" w:type="pct"/>
            <w:vMerge w:val="continue"/>
            <w:shd w:val="clear" w:color="000000" w:fill="FFFFFF"/>
            <w:vAlign w:val="center"/>
          </w:tcPr>
          <w:p w14:paraId="4582AACF">
            <w:pPr>
              <w:spacing w:line="240" w:lineRule="auto"/>
              <w:ind w:firstLine="0" w:firstLineChars="0"/>
              <w:jc w:val="center"/>
              <w:rPr>
                <w:rFonts w:eastAsia="宋体" w:cs="Times New Roman"/>
                <w:sz w:val="20"/>
                <w:szCs w:val="20"/>
              </w:rPr>
            </w:pPr>
          </w:p>
        </w:tc>
        <w:tc>
          <w:tcPr>
            <w:tcW w:w="862" w:type="pct"/>
            <w:vMerge w:val="continue"/>
            <w:shd w:val="clear" w:color="000000" w:fill="FFFFFF"/>
            <w:vAlign w:val="center"/>
          </w:tcPr>
          <w:p w14:paraId="40DFB0A0">
            <w:pPr>
              <w:spacing w:line="240" w:lineRule="auto"/>
              <w:ind w:firstLine="0" w:firstLineChars="0"/>
              <w:jc w:val="center"/>
              <w:rPr>
                <w:rFonts w:eastAsia="宋体" w:cs="Times New Roman"/>
                <w:sz w:val="20"/>
                <w:szCs w:val="20"/>
              </w:rPr>
            </w:pPr>
          </w:p>
        </w:tc>
        <w:tc>
          <w:tcPr>
            <w:tcW w:w="1110" w:type="pct"/>
            <w:shd w:val="clear" w:color="000000" w:fill="FFFFFF"/>
            <w:vAlign w:val="center"/>
          </w:tcPr>
          <w:p w14:paraId="6087B367">
            <w:pPr>
              <w:spacing w:line="240" w:lineRule="auto"/>
              <w:ind w:firstLine="0" w:firstLineChars="0"/>
              <w:jc w:val="center"/>
              <w:rPr>
                <w:rFonts w:eastAsia="宋体" w:cs="Times New Roman"/>
                <w:sz w:val="20"/>
                <w:szCs w:val="20"/>
              </w:rPr>
            </w:pPr>
            <w:r>
              <w:rPr>
                <w:rFonts w:eastAsia="宋体" w:cs="Times New Roman"/>
                <w:sz w:val="20"/>
                <w:szCs w:val="20"/>
              </w:rPr>
              <w:t>其它林业和草原支出</w:t>
            </w:r>
          </w:p>
        </w:tc>
        <w:tc>
          <w:tcPr>
            <w:tcW w:w="886" w:type="pct"/>
            <w:shd w:val="clear" w:color="000000" w:fill="FFFFFF"/>
            <w:vAlign w:val="center"/>
          </w:tcPr>
          <w:p w14:paraId="50FA68FC">
            <w:pPr>
              <w:spacing w:line="240" w:lineRule="auto"/>
              <w:ind w:firstLine="0" w:firstLineChars="0"/>
              <w:jc w:val="center"/>
              <w:rPr>
                <w:rFonts w:eastAsia="宋体" w:cs="Times New Roman"/>
                <w:sz w:val="20"/>
                <w:szCs w:val="20"/>
              </w:rPr>
            </w:pPr>
            <w:r>
              <w:rPr>
                <w:rFonts w:eastAsia="宋体" w:cs="Times New Roman"/>
                <w:sz w:val="20"/>
                <w:szCs w:val="20"/>
              </w:rPr>
              <w:t>55.97</w:t>
            </w:r>
          </w:p>
        </w:tc>
        <w:tc>
          <w:tcPr>
            <w:tcW w:w="700" w:type="pct"/>
            <w:shd w:val="clear" w:color="000000" w:fill="FFFFFF"/>
            <w:vAlign w:val="center"/>
          </w:tcPr>
          <w:p w14:paraId="319A5AF9">
            <w:pPr>
              <w:spacing w:line="240" w:lineRule="auto"/>
              <w:ind w:firstLine="0" w:firstLineChars="0"/>
              <w:jc w:val="center"/>
              <w:rPr>
                <w:rFonts w:eastAsia="宋体" w:cs="Times New Roman"/>
                <w:sz w:val="20"/>
                <w:szCs w:val="20"/>
              </w:rPr>
            </w:pPr>
            <w:r>
              <w:rPr>
                <w:rFonts w:eastAsia="宋体" w:cs="Times New Roman"/>
                <w:sz w:val="20"/>
                <w:szCs w:val="20"/>
              </w:rPr>
              <w:t>55.97</w:t>
            </w:r>
          </w:p>
        </w:tc>
      </w:tr>
      <w:tr w14:paraId="6E4B2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694" w:type="pct"/>
            <w:vMerge w:val="continue"/>
            <w:vAlign w:val="center"/>
          </w:tcPr>
          <w:p w14:paraId="7889BFCD">
            <w:pPr>
              <w:spacing w:line="240" w:lineRule="auto"/>
              <w:ind w:firstLine="0" w:firstLineChars="0"/>
              <w:jc w:val="center"/>
              <w:rPr>
                <w:rFonts w:eastAsia="宋体" w:cs="Times New Roman"/>
                <w:b/>
                <w:bCs/>
                <w:sz w:val="20"/>
                <w:szCs w:val="20"/>
              </w:rPr>
            </w:pPr>
          </w:p>
        </w:tc>
        <w:tc>
          <w:tcPr>
            <w:tcW w:w="747" w:type="pct"/>
            <w:vMerge w:val="restart"/>
            <w:shd w:val="clear" w:color="000000" w:fill="FFFFFF"/>
            <w:vAlign w:val="center"/>
          </w:tcPr>
          <w:p w14:paraId="57900259">
            <w:pPr>
              <w:spacing w:line="240" w:lineRule="auto"/>
              <w:ind w:firstLine="0" w:firstLineChars="0"/>
              <w:jc w:val="center"/>
              <w:rPr>
                <w:rFonts w:eastAsia="宋体" w:cs="Times New Roman"/>
                <w:sz w:val="20"/>
                <w:szCs w:val="20"/>
              </w:rPr>
            </w:pPr>
            <w:r>
              <w:rPr>
                <w:rFonts w:eastAsia="宋体" w:cs="Times New Roman"/>
                <w:sz w:val="20"/>
                <w:szCs w:val="20"/>
              </w:rPr>
              <w:t>自然资源海洋气象等支出</w:t>
            </w:r>
          </w:p>
        </w:tc>
        <w:tc>
          <w:tcPr>
            <w:tcW w:w="862" w:type="pct"/>
            <w:vMerge w:val="restart"/>
            <w:shd w:val="clear" w:color="000000" w:fill="FFFFFF"/>
            <w:vAlign w:val="center"/>
          </w:tcPr>
          <w:p w14:paraId="4AB6F94E">
            <w:pPr>
              <w:spacing w:line="240" w:lineRule="auto"/>
              <w:ind w:firstLine="0" w:firstLineChars="0"/>
              <w:jc w:val="center"/>
              <w:rPr>
                <w:rFonts w:eastAsia="宋体" w:cs="Times New Roman"/>
                <w:sz w:val="20"/>
                <w:szCs w:val="20"/>
              </w:rPr>
            </w:pPr>
            <w:r>
              <w:rPr>
                <w:rFonts w:eastAsia="宋体" w:cs="Times New Roman"/>
                <w:sz w:val="20"/>
                <w:szCs w:val="20"/>
              </w:rPr>
              <w:t>自然资源事务</w:t>
            </w:r>
          </w:p>
        </w:tc>
        <w:tc>
          <w:tcPr>
            <w:tcW w:w="1110" w:type="pct"/>
            <w:shd w:val="clear" w:color="000000" w:fill="FFFFFF"/>
            <w:vAlign w:val="center"/>
          </w:tcPr>
          <w:p w14:paraId="68871188">
            <w:pPr>
              <w:spacing w:line="240" w:lineRule="auto"/>
              <w:ind w:firstLine="0" w:firstLineChars="0"/>
              <w:jc w:val="center"/>
              <w:rPr>
                <w:rFonts w:eastAsia="宋体" w:cs="Times New Roman"/>
                <w:sz w:val="20"/>
                <w:szCs w:val="20"/>
              </w:rPr>
            </w:pPr>
            <w:r>
              <w:rPr>
                <w:rFonts w:eastAsia="宋体" w:cs="Times New Roman"/>
                <w:sz w:val="20"/>
                <w:szCs w:val="20"/>
              </w:rPr>
              <w:t>一般行政管理事务</w:t>
            </w:r>
          </w:p>
        </w:tc>
        <w:tc>
          <w:tcPr>
            <w:tcW w:w="886" w:type="pct"/>
            <w:shd w:val="clear" w:color="000000" w:fill="FFFFFF"/>
            <w:vAlign w:val="center"/>
          </w:tcPr>
          <w:p w14:paraId="20B87356">
            <w:pPr>
              <w:spacing w:line="240" w:lineRule="auto"/>
              <w:ind w:firstLine="0" w:firstLineChars="0"/>
              <w:jc w:val="center"/>
              <w:rPr>
                <w:rFonts w:eastAsia="宋体" w:cs="Times New Roman"/>
                <w:sz w:val="20"/>
                <w:szCs w:val="20"/>
              </w:rPr>
            </w:pPr>
            <w:r>
              <w:rPr>
                <w:rFonts w:eastAsia="宋体" w:cs="Times New Roman"/>
                <w:sz w:val="20"/>
                <w:szCs w:val="20"/>
              </w:rPr>
              <w:t>577.13</w:t>
            </w:r>
          </w:p>
        </w:tc>
        <w:tc>
          <w:tcPr>
            <w:tcW w:w="700" w:type="pct"/>
            <w:shd w:val="clear" w:color="000000" w:fill="FFFFFF"/>
            <w:vAlign w:val="center"/>
          </w:tcPr>
          <w:p w14:paraId="5F2D776B">
            <w:pPr>
              <w:spacing w:line="240" w:lineRule="auto"/>
              <w:ind w:firstLine="0" w:firstLineChars="0"/>
              <w:jc w:val="center"/>
              <w:rPr>
                <w:rFonts w:eastAsia="宋体" w:cs="Times New Roman"/>
                <w:sz w:val="20"/>
                <w:szCs w:val="20"/>
              </w:rPr>
            </w:pPr>
            <w:r>
              <w:rPr>
                <w:rFonts w:eastAsia="宋体" w:cs="Times New Roman"/>
                <w:sz w:val="20"/>
                <w:szCs w:val="20"/>
              </w:rPr>
              <w:t>577.13</w:t>
            </w:r>
          </w:p>
        </w:tc>
      </w:tr>
      <w:tr w14:paraId="18AE7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694" w:type="pct"/>
            <w:vMerge w:val="continue"/>
            <w:vAlign w:val="center"/>
          </w:tcPr>
          <w:p w14:paraId="5343DAD7">
            <w:pPr>
              <w:spacing w:line="240" w:lineRule="auto"/>
              <w:ind w:firstLine="0" w:firstLineChars="0"/>
              <w:jc w:val="center"/>
              <w:rPr>
                <w:rFonts w:eastAsia="宋体" w:cs="Times New Roman"/>
                <w:b/>
                <w:bCs/>
                <w:sz w:val="20"/>
                <w:szCs w:val="20"/>
              </w:rPr>
            </w:pPr>
          </w:p>
        </w:tc>
        <w:tc>
          <w:tcPr>
            <w:tcW w:w="747" w:type="pct"/>
            <w:vMerge w:val="continue"/>
            <w:shd w:val="clear" w:color="000000" w:fill="FFFFFF"/>
            <w:vAlign w:val="center"/>
          </w:tcPr>
          <w:p w14:paraId="6D2F45BE">
            <w:pPr>
              <w:spacing w:line="240" w:lineRule="auto"/>
              <w:ind w:firstLine="0" w:firstLineChars="0"/>
              <w:jc w:val="center"/>
              <w:rPr>
                <w:rFonts w:eastAsia="宋体" w:cs="Times New Roman"/>
                <w:sz w:val="20"/>
                <w:szCs w:val="20"/>
              </w:rPr>
            </w:pPr>
          </w:p>
        </w:tc>
        <w:tc>
          <w:tcPr>
            <w:tcW w:w="862" w:type="pct"/>
            <w:vMerge w:val="continue"/>
            <w:shd w:val="clear" w:color="000000" w:fill="FFFFFF"/>
            <w:vAlign w:val="center"/>
          </w:tcPr>
          <w:p w14:paraId="4993697B">
            <w:pPr>
              <w:spacing w:line="240" w:lineRule="auto"/>
              <w:ind w:firstLine="0" w:firstLineChars="0"/>
              <w:jc w:val="center"/>
              <w:rPr>
                <w:rFonts w:eastAsia="宋体" w:cs="Times New Roman"/>
                <w:sz w:val="20"/>
                <w:szCs w:val="20"/>
              </w:rPr>
            </w:pPr>
          </w:p>
        </w:tc>
        <w:tc>
          <w:tcPr>
            <w:tcW w:w="1110" w:type="pct"/>
            <w:shd w:val="clear" w:color="000000" w:fill="FFFFFF"/>
            <w:vAlign w:val="center"/>
          </w:tcPr>
          <w:p w14:paraId="37427D69">
            <w:pPr>
              <w:spacing w:line="240" w:lineRule="auto"/>
              <w:ind w:firstLine="0" w:firstLineChars="0"/>
              <w:jc w:val="center"/>
              <w:rPr>
                <w:rFonts w:eastAsia="宋体" w:cs="Times New Roman"/>
                <w:sz w:val="20"/>
                <w:szCs w:val="20"/>
              </w:rPr>
            </w:pPr>
            <w:r>
              <w:rPr>
                <w:rFonts w:eastAsia="宋体" w:cs="Times New Roman"/>
                <w:sz w:val="20"/>
                <w:szCs w:val="20"/>
              </w:rPr>
              <w:t>自然资源规划及管理</w:t>
            </w:r>
          </w:p>
        </w:tc>
        <w:tc>
          <w:tcPr>
            <w:tcW w:w="886" w:type="pct"/>
            <w:shd w:val="clear" w:color="000000" w:fill="FFFFFF"/>
            <w:vAlign w:val="center"/>
          </w:tcPr>
          <w:p w14:paraId="0CD1E3F0">
            <w:pPr>
              <w:spacing w:line="240" w:lineRule="auto"/>
              <w:ind w:firstLine="0" w:firstLineChars="0"/>
              <w:jc w:val="center"/>
              <w:rPr>
                <w:rFonts w:eastAsia="宋体" w:cs="Times New Roman"/>
                <w:sz w:val="20"/>
                <w:szCs w:val="20"/>
              </w:rPr>
            </w:pPr>
            <w:r>
              <w:rPr>
                <w:rFonts w:eastAsia="宋体" w:cs="Times New Roman"/>
                <w:sz w:val="20"/>
                <w:szCs w:val="20"/>
              </w:rPr>
              <w:t>62.00</w:t>
            </w:r>
          </w:p>
        </w:tc>
        <w:tc>
          <w:tcPr>
            <w:tcW w:w="700" w:type="pct"/>
            <w:shd w:val="clear" w:color="000000" w:fill="FFFFFF"/>
            <w:vAlign w:val="center"/>
          </w:tcPr>
          <w:p w14:paraId="6B2229E7">
            <w:pPr>
              <w:spacing w:line="240" w:lineRule="auto"/>
              <w:ind w:firstLine="0" w:firstLineChars="0"/>
              <w:jc w:val="center"/>
              <w:rPr>
                <w:rFonts w:eastAsia="宋体" w:cs="Times New Roman"/>
                <w:sz w:val="20"/>
                <w:szCs w:val="20"/>
              </w:rPr>
            </w:pPr>
            <w:r>
              <w:rPr>
                <w:rFonts w:eastAsia="宋体" w:cs="Times New Roman"/>
                <w:sz w:val="20"/>
                <w:szCs w:val="20"/>
              </w:rPr>
              <w:t>62.00</w:t>
            </w:r>
          </w:p>
        </w:tc>
      </w:tr>
      <w:tr w14:paraId="6A2FC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694" w:type="pct"/>
            <w:vMerge w:val="continue"/>
            <w:vAlign w:val="center"/>
          </w:tcPr>
          <w:p w14:paraId="7892FD52">
            <w:pPr>
              <w:spacing w:line="240" w:lineRule="auto"/>
              <w:ind w:firstLine="0" w:firstLineChars="0"/>
              <w:jc w:val="center"/>
              <w:rPr>
                <w:rFonts w:eastAsia="宋体" w:cs="Times New Roman"/>
                <w:b/>
                <w:bCs/>
                <w:sz w:val="20"/>
                <w:szCs w:val="20"/>
              </w:rPr>
            </w:pPr>
          </w:p>
        </w:tc>
        <w:tc>
          <w:tcPr>
            <w:tcW w:w="747" w:type="pct"/>
            <w:vMerge w:val="continue"/>
            <w:shd w:val="clear" w:color="000000" w:fill="FFFFFF"/>
            <w:vAlign w:val="center"/>
          </w:tcPr>
          <w:p w14:paraId="3A0D2A3A">
            <w:pPr>
              <w:spacing w:line="240" w:lineRule="auto"/>
              <w:ind w:firstLine="0" w:firstLineChars="0"/>
              <w:jc w:val="center"/>
              <w:rPr>
                <w:rFonts w:eastAsia="宋体" w:cs="Times New Roman"/>
                <w:sz w:val="20"/>
                <w:szCs w:val="20"/>
              </w:rPr>
            </w:pPr>
          </w:p>
        </w:tc>
        <w:tc>
          <w:tcPr>
            <w:tcW w:w="862" w:type="pct"/>
            <w:vMerge w:val="continue"/>
            <w:shd w:val="clear" w:color="000000" w:fill="FFFFFF"/>
            <w:vAlign w:val="center"/>
          </w:tcPr>
          <w:p w14:paraId="2619BB3A">
            <w:pPr>
              <w:spacing w:line="240" w:lineRule="auto"/>
              <w:ind w:firstLine="0" w:firstLineChars="0"/>
              <w:jc w:val="center"/>
              <w:rPr>
                <w:rFonts w:eastAsia="宋体" w:cs="Times New Roman"/>
                <w:sz w:val="20"/>
                <w:szCs w:val="20"/>
              </w:rPr>
            </w:pPr>
          </w:p>
        </w:tc>
        <w:tc>
          <w:tcPr>
            <w:tcW w:w="1110" w:type="pct"/>
            <w:shd w:val="clear" w:color="000000" w:fill="FFFFFF"/>
            <w:vAlign w:val="center"/>
          </w:tcPr>
          <w:p w14:paraId="443076D6">
            <w:pPr>
              <w:spacing w:line="240" w:lineRule="auto"/>
              <w:ind w:firstLine="0" w:firstLineChars="0"/>
              <w:jc w:val="center"/>
              <w:rPr>
                <w:rFonts w:eastAsia="宋体" w:cs="Times New Roman"/>
                <w:sz w:val="20"/>
                <w:szCs w:val="20"/>
              </w:rPr>
            </w:pPr>
            <w:r>
              <w:rPr>
                <w:rFonts w:eastAsia="宋体" w:cs="Times New Roman"/>
                <w:sz w:val="20"/>
                <w:szCs w:val="20"/>
              </w:rPr>
              <w:t>自然资源利用与保护</w:t>
            </w:r>
          </w:p>
        </w:tc>
        <w:tc>
          <w:tcPr>
            <w:tcW w:w="886" w:type="pct"/>
            <w:shd w:val="clear" w:color="000000" w:fill="FFFFFF"/>
            <w:vAlign w:val="center"/>
          </w:tcPr>
          <w:p w14:paraId="124BD69F">
            <w:pPr>
              <w:spacing w:line="240" w:lineRule="auto"/>
              <w:ind w:firstLine="0" w:firstLineChars="0"/>
              <w:jc w:val="center"/>
              <w:rPr>
                <w:rFonts w:eastAsia="宋体" w:cs="Times New Roman"/>
                <w:sz w:val="20"/>
                <w:szCs w:val="20"/>
              </w:rPr>
            </w:pPr>
            <w:r>
              <w:rPr>
                <w:rFonts w:eastAsia="宋体" w:cs="Times New Roman"/>
                <w:sz w:val="20"/>
                <w:szCs w:val="20"/>
              </w:rPr>
              <w:t>44.26</w:t>
            </w:r>
          </w:p>
        </w:tc>
        <w:tc>
          <w:tcPr>
            <w:tcW w:w="700" w:type="pct"/>
            <w:shd w:val="clear" w:color="000000" w:fill="FFFFFF"/>
            <w:vAlign w:val="center"/>
          </w:tcPr>
          <w:p w14:paraId="0275544D">
            <w:pPr>
              <w:spacing w:line="240" w:lineRule="auto"/>
              <w:ind w:firstLine="0" w:firstLineChars="0"/>
              <w:jc w:val="center"/>
              <w:rPr>
                <w:rFonts w:eastAsia="宋体" w:cs="Times New Roman"/>
                <w:sz w:val="20"/>
                <w:szCs w:val="20"/>
              </w:rPr>
            </w:pPr>
            <w:r>
              <w:rPr>
                <w:rFonts w:eastAsia="宋体" w:cs="Times New Roman"/>
                <w:sz w:val="20"/>
                <w:szCs w:val="20"/>
              </w:rPr>
              <w:t>44.26</w:t>
            </w:r>
          </w:p>
        </w:tc>
      </w:tr>
      <w:tr w14:paraId="54FE7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694" w:type="pct"/>
            <w:vMerge w:val="continue"/>
            <w:vAlign w:val="center"/>
          </w:tcPr>
          <w:p w14:paraId="46D216CB">
            <w:pPr>
              <w:spacing w:line="240" w:lineRule="auto"/>
              <w:ind w:firstLine="0" w:firstLineChars="0"/>
              <w:jc w:val="center"/>
              <w:rPr>
                <w:rFonts w:eastAsia="宋体" w:cs="Times New Roman"/>
                <w:b/>
                <w:bCs/>
                <w:sz w:val="20"/>
                <w:szCs w:val="20"/>
              </w:rPr>
            </w:pPr>
          </w:p>
        </w:tc>
        <w:tc>
          <w:tcPr>
            <w:tcW w:w="747" w:type="pct"/>
            <w:vMerge w:val="continue"/>
            <w:shd w:val="clear" w:color="000000" w:fill="FFFFFF"/>
            <w:vAlign w:val="center"/>
          </w:tcPr>
          <w:p w14:paraId="04C14D8E">
            <w:pPr>
              <w:spacing w:line="240" w:lineRule="auto"/>
              <w:ind w:firstLine="0" w:firstLineChars="0"/>
              <w:jc w:val="center"/>
              <w:rPr>
                <w:rFonts w:eastAsia="宋体" w:cs="Times New Roman"/>
                <w:sz w:val="20"/>
                <w:szCs w:val="20"/>
              </w:rPr>
            </w:pPr>
          </w:p>
        </w:tc>
        <w:tc>
          <w:tcPr>
            <w:tcW w:w="862" w:type="pct"/>
            <w:vMerge w:val="continue"/>
            <w:shd w:val="clear" w:color="000000" w:fill="FFFFFF"/>
            <w:vAlign w:val="center"/>
          </w:tcPr>
          <w:p w14:paraId="06C8F1F8">
            <w:pPr>
              <w:spacing w:line="240" w:lineRule="auto"/>
              <w:ind w:firstLine="0" w:firstLineChars="0"/>
              <w:jc w:val="center"/>
              <w:rPr>
                <w:rFonts w:eastAsia="宋体" w:cs="Times New Roman"/>
                <w:sz w:val="20"/>
                <w:szCs w:val="20"/>
              </w:rPr>
            </w:pPr>
          </w:p>
        </w:tc>
        <w:tc>
          <w:tcPr>
            <w:tcW w:w="1110" w:type="pct"/>
            <w:shd w:val="clear" w:color="000000" w:fill="FFFFFF"/>
            <w:vAlign w:val="center"/>
          </w:tcPr>
          <w:p w14:paraId="65F75F1A">
            <w:pPr>
              <w:spacing w:line="240" w:lineRule="auto"/>
              <w:ind w:firstLine="0" w:firstLineChars="0"/>
              <w:jc w:val="center"/>
              <w:rPr>
                <w:rFonts w:eastAsia="宋体" w:cs="Times New Roman"/>
                <w:sz w:val="20"/>
                <w:szCs w:val="20"/>
              </w:rPr>
            </w:pPr>
            <w:r>
              <w:rPr>
                <w:rFonts w:eastAsia="宋体" w:cs="Times New Roman"/>
                <w:sz w:val="20"/>
                <w:szCs w:val="20"/>
              </w:rPr>
              <w:t>自然资源行业业务管理</w:t>
            </w:r>
          </w:p>
        </w:tc>
        <w:tc>
          <w:tcPr>
            <w:tcW w:w="886" w:type="pct"/>
            <w:shd w:val="clear" w:color="000000" w:fill="FFFFFF"/>
            <w:vAlign w:val="center"/>
          </w:tcPr>
          <w:p w14:paraId="5E08687F">
            <w:pPr>
              <w:spacing w:line="240" w:lineRule="auto"/>
              <w:ind w:firstLine="0" w:firstLineChars="0"/>
              <w:jc w:val="center"/>
              <w:rPr>
                <w:rFonts w:eastAsia="宋体" w:cs="Times New Roman"/>
                <w:sz w:val="20"/>
                <w:szCs w:val="20"/>
              </w:rPr>
            </w:pPr>
            <w:r>
              <w:rPr>
                <w:rFonts w:eastAsia="宋体" w:cs="Times New Roman"/>
                <w:sz w:val="20"/>
                <w:szCs w:val="20"/>
              </w:rPr>
              <w:t>339.52</w:t>
            </w:r>
          </w:p>
        </w:tc>
        <w:tc>
          <w:tcPr>
            <w:tcW w:w="700" w:type="pct"/>
            <w:shd w:val="clear" w:color="000000" w:fill="FFFFFF"/>
            <w:vAlign w:val="center"/>
          </w:tcPr>
          <w:p w14:paraId="039DBA3D">
            <w:pPr>
              <w:spacing w:line="240" w:lineRule="auto"/>
              <w:ind w:firstLine="0" w:firstLineChars="0"/>
              <w:jc w:val="center"/>
              <w:rPr>
                <w:rFonts w:eastAsia="宋体" w:cs="Times New Roman"/>
                <w:sz w:val="20"/>
                <w:szCs w:val="20"/>
              </w:rPr>
            </w:pPr>
            <w:r>
              <w:rPr>
                <w:rFonts w:eastAsia="宋体" w:cs="Times New Roman"/>
                <w:sz w:val="20"/>
                <w:szCs w:val="20"/>
              </w:rPr>
              <w:t>339.52</w:t>
            </w:r>
          </w:p>
        </w:tc>
      </w:tr>
      <w:tr w14:paraId="40466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694" w:type="pct"/>
            <w:vMerge w:val="continue"/>
            <w:vAlign w:val="center"/>
          </w:tcPr>
          <w:p w14:paraId="40525670">
            <w:pPr>
              <w:spacing w:line="240" w:lineRule="auto"/>
              <w:ind w:firstLine="0" w:firstLineChars="0"/>
              <w:jc w:val="center"/>
              <w:rPr>
                <w:rFonts w:eastAsia="宋体" w:cs="Times New Roman"/>
                <w:b/>
                <w:bCs/>
                <w:sz w:val="20"/>
                <w:szCs w:val="20"/>
              </w:rPr>
            </w:pPr>
          </w:p>
        </w:tc>
        <w:tc>
          <w:tcPr>
            <w:tcW w:w="747" w:type="pct"/>
            <w:vMerge w:val="continue"/>
            <w:shd w:val="clear" w:color="000000" w:fill="FFFFFF"/>
            <w:vAlign w:val="center"/>
          </w:tcPr>
          <w:p w14:paraId="31CAD97C">
            <w:pPr>
              <w:spacing w:line="240" w:lineRule="auto"/>
              <w:ind w:firstLine="0" w:firstLineChars="0"/>
              <w:jc w:val="center"/>
              <w:rPr>
                <w:rFonts w:eastAsia="宋体" w:cs="Times New Roman"/>
                <w:sz w:val="20"/>
                <w:szCs w:val="20"/>
              </w:rPr>
            </w:pPr>
          </w:p>
        </w:tc>
        <w:tc>
          <w:tcPr>
            <w:tcW w:w="862" w:type="pct"/>
            <w:vMerge w:val="continue"/>
            <w:shd w:val="clear" w:color="000000" w:fill="FFFFFF"/>
            <w:vAlign w:val="center"/>
          </w:tcPr>
          <w:p w14:paraId="4E0638DF">
            <w:pPr>
              <w:spacing w:line="240" w:lineRule="auto"/>
              <w:ind w:firstLine="0" w:firstLineChars="0"/>
              <w:jc w:val="center"/>
              <w:rPr>
                <w:rFonts w:eastAsia="宋体" w:cs="Times New Roman"/>
                <w:sz w:val="20"/>
                <w:szCs w:val="20"/>
              </w:rPr>
            </w:pPr>
          </w:p>
        </w:tc>
        <w:tc>
          <w:tcPr>
            <w:tcW w:w="1110" w:type="pct"/>
            <w:shd w:val="clear" w:color="000000" w:fill="FFFFFF"/>
            <w:vAlign w:val="center"/>
          </w:tcPr>
          <w:p w14:paraId="5FC0A025">
            <w:pPr>
              <w:spacing w:line="240" w:lineRule="auto"/>
              <w:ind w:firstLine="0" w:firstLineChars="0"/>
              <w:jc w:val="center"/>
              <w:rPr>
                <w:rFonts w:eastAsia="宋体" w:cs="Times New Roman"/>
                <w:sz w:val="20"/>
                <w:szCs w:val="20"/>
              </w:rPr>
            </w:pPr>
            <w:r>
              <w:rPr>
                <w:rFonts w:eastAsia="宋体" w:cs="Times New Roman"/>
                <w:sz w:val="20"/>
                <w:szCs w:val="20"/>
              </w:rPr>
              <w:t>地质矿产资源与环境调查</w:t>
            </w:r>
          </w:p>
        </w:tc>
        <w:tc>
          <w:tcPr>
            <w:tcW w:w="886" w:type="pct"/>
            <w:shd w:val="clear" w:color="000000" w:fill="FFFFFF"/>
            <w:vAlign w:val="center"/>
          </w:tcPr>
          <w:p w14:paraId="7BCCA32C">
            <w:pPr>
              <w:spacing w:line="240" w:lineRule="auto"/>
              <w:ind w:firstLine="0" w:firstLineChars="0"/>
              <w:jc w:val="center"/>
              <w:rPr>
                <w:rFonts w:eastAsia="宋体" w:cs="Times New Roman"/>
                <w:sz w:val="20"/>
                <w:szCs w:val="20"/>
              </w:rPr>
            </w:pPr>
            <w:r>
              <w:rPr>
                <w:rFonts w:eastAsia="宋体" w:cs="Times New Roman"/>
                <w:sz w:val="20"/>
                <w:szCs w:val="20"/>
              </w:rPr>
              <w:t>19.81</w:t>
            </w:r>
          </w:p>
        </w:tc>
        <w:tc>
          <w:tcPr>
            <w:tcW w:w="700" w:type="pct"/>
            <w:shd w:val="clear" w:color="000000" w:fill="FFFFFF"/>
            <w:vAlign w:val="center"/>
          </w:tcPr>
          <w:p w14:paraId="749CD939">
            <w:pPr>
              <w:spacing w:line="240" w:lineRule="auto"/>
              <w:ind w:firstLine="0" w:firstLineChars="0"/>
              <w:jc w:val="center"/>
              <w:rPr>
                <w:rFonts w:eastAsia="宋体" w:cs="Times New Roman"/>
                <w:sz w:val="20"/>
                <w:szCs w:val="20"/>
              </w:rPr>
            </w:pPr>
            <w:r>
              <w:rPr>
                <w:rFonts w:eastAsia="宋体" w:cs="Times New Roman"/>
                <w:sz w:val="20"/>
                <w:szCs w:val="20"/>
              </w:rPr>
              <w:t>19.81</w:t>
            </w:r>
          </w:p>
        </w:tc>
      </w:tr>
      <w:tr w14:paraId="71F12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694" w:type="pct"/>
            <w:vMerge w:val="continue"/>
            <w:vAlign w:val="center"/>
          </w:tcPr>
          <w:p w14:paraId="6797F6DB">
            <w:pPr>
              <w:spacing w:line="240" w:lineRule="auto"/>
              <w:ind w:firstLine="0" w:firstLineChars="0"/>
              <w:jc w:val="center"/>
              <w:rPr>
                <w:rFonts w:eastAsia="宋体" w:cs="Times New Roman"/>
                <w:b/>
                <w:bCs/>
                <w:sz w:val="20"/>
                <w:szCs w:val="20"/>
              </w:rPr>
            </w:pPr>
          </w:p>
        </w:tc>
        <w:tc>
          <w:tcPr>
            <w:tcW w:w="747" w:type="pct"/>
            <w:vMerge w:val="continue"/>
            <w:shd w:val="clear" w:color="000000" w:fill="FFFFFF"/>
            <w:vAlign w:val="center"/>
          </w:tcPr>
          <w:p w14:paraId="4BE60C78">
            <w:pPr>
              <w:spacing w:line="240" w:lineRule="auto"/>
              <w:ind w:firstLine="0" w:firstLineChars="0"/>
              <w:jc w:val="center"/>
              <w:rPr>
                <w:rFonts w:eastAsia="宋体" w:cs="Times New Roman"/>
                <w:sz w:val="20"/>
                <w:szCs w:val="20"/>
              </w:rPr>
            </w:pPr>
          </w:p>
        </w:tc>
        <w:tc>
          <w:tcPr>
            <w:tcW w:w="862" w:type="pct"/>
            <w:vMerge w:val="continue"/>
            <w:shd w:val="clear" w:color="000000" w:fill="FFFFFF"/>
            <w:vAlign w:val="center"/>
          </w:tcPr>
          <w:p w14:paraId="53793A6C">
            <w:pPr>
              <w:spacing w:line="240" w:lineRule="auto"/>
              <w:ind w:firstLine="0" w:firstLineChars="0"/>
              <w:jc w:val="center"/>
              <w:rPr>
                <w:rFonts w:eastAsia="宋体" w:cs="Times New Roman"/>
                <w:sz w:val="20"/>
                <w:szCs w:val="20"/>
              </w:rPr>
            </w:pPr>
          </w:p>
        </w:tc>
        <w:tc>
          <w:tcPr>
            <w:tcW w:w="1110" w:type="pct"/>
            <w:shd w:val="clear" w:color="000000" w:fill="FFFFFF"/>
            <w:vAlign w:val="center"/>
          </w:tcPr>
          <w:p w14:paraId="6CC33179">
            <w:pPr>
              <w:spacing w:line="240" w:lineRule="auto"/>
              <w:ind w:firstLine="0" w:firstLineChars="0"/>
              <w:jc w:val="center"/>
              <w:rPr>
                <w:rFonts w:eastAsia="宋体" w:cs="Times New Roman"/>
                <w:sz w:val="20"/>
                <w:szCs w:val="20"/>
              </w:rPr>
            </w:pPr>
            <w:r>
              <w:rPr>
                <w:rFonts w:eastAsia="宋体" w:cs="Times New Roman"/>
                <w:sz w:val="20"/>
                <w:szCs w:val="20"/>
              </w:rPr>
              <w:t>其它自然资源事务支出</w:t>
            </w:r>
          </w:p>
        </w:tc>
        <w:tc>
          <w:tcPr>
            <w:tcW w:w="886" w:type="pct"/>
            <w:shd w:val="clear" w:color="000000" w:fill="FFFFFF"/>
            <w:vAlign w:val="center"/>
          </w:tcPr>
          <w:p w14:paraId="174DF2E9">
            <w:pPr>
              <w:spacing w:line="240" w:lineRule="auto"/>
              <w:ind w:firstLine="0" w:firstLineChars="0"/>
              <w:jc w:val="center"/>
              <w:rPr>
                <w:rFonts w:eastAsia="宋体" w:cs="Times New Roman"/>
                <w:sz w:val="20"/>
                <w:szCs w:val="20"/>
              </w:rPr>
            </w:pPr>
            <w:r>
              <w:rPr>
                <w:rFonts w:eastAsia="宋体" w:cs="Times New Roman"/>
                <w:sz w:val="20"/>
                <w:szCs w:val="20"/>
              </w:rPr>
              <w:t>1000.31</w:t>
            </w:r>
          </w:p>
        </w:tc>
        <w:tc>
          <w:tcPr>
            <w:tcW w:w="700" w:type="pct"/>
            <w:shd w:val="clear" w:color="000000" w:fill="FFFFFF"/>
            <w:vAlign w:val="center"/>
          </w:tcPr>
          <w:p w14:paraId="246C832D">
            <w:pPr>
              <w:spacing w:line="240" w:lineRule="auto"/>
              <w:ind w:firstLine="0" w:firstLineChars="0"/>
              <w:jc w:val="center"/>
              <w:rPr>
                <w:rFonts w:eastAsia="宋体" w:cs="Times New Roman"/>
                <w:sz w:val="20"/>
                <w:szCs w:val="20"/>
              </w:rPr>
            </w:pPr>
            <w:r>
              <w:rPr>
                <w:rFonts w:eastAsia="宋体" w:cs="Times New Roman"/>
                <w:sz w:val="20"/>
                <w:szCs w:val="20"/>
              </w:rPr>
              <w:t>1000.31</w:t>
            </w:r>
          </w:p>
        </w:tc>
      </w:tr>
      <w:tr w14:paraId="7D608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694" w:type="pct"/>
            <w:vMerge w:val="continue"/>
            <w:vAlign w:val="center"/>
          </w:tcPr>
          <w:p w14:paraId="4B84036E">
            <w:pPr>
              <w:spacing w:line="240" w:lineRule="auto"/>
              <w:ind w:firstLine="0" w:firstLineChars="0"/>
              <w:jc w:val="center"/>
              <w:rPr>
                <w:rFonts w:eastAsia="宋体" w:cs="Times New Roman"/>
                <w:b/>
                <w:bCs/>
                <w:sz w:val="20"/>
                <w:szCs w:val="20"/>
              </w:rPr>
            </w:pPr>
          </w:p>
        </w:tc>
        <w:tc>
          <w:tcPr>
            <w:tcW w:w="747" w:type="pct"/>
            <w:shd w:val="clear" w:color="000000" w:fill="FFFFFF"/>
            <w:vAlign w:val="center"/>
          </w:tcPr>
          <w:p w14:paraId="22846EE6">
            <w:pPr>
              <w:spacing w:line="240" w:lineRule="auto"/>
              <w:ind w:firstLine="0" w:firstLineChars="0"/>
              <w:jc w:val="center"/>
              <w:rPr>
                <w:rFonts w:eastAsia="宋体" w:cs="Times New Roman"/>
                <w:sz w:val="20"/>
                <w:szCs w:val="20"/>
              </w:rPr>
            </w:pPr>
            <w:r>
              <w:rPr>
                <w:rFonts w:eastAsia="宋体" w:cs="Times New Roman"/>
                <w:sz w:val="20"/>
                <w:szCs w:val="20"/>
              </w:rPr>
              <w:t>灾害防治及应急管理支出</w:t>
            </w:r>
          </w:p>
        </w:tc>
        <w:tc>
          <w:tcPr>
            <w:tcW w:w="862" w:type="pct"/>
            <w:shd w:val="clear" w:color="000000" w:fill="FFFFFF"/>
            <w:vAlign w:val="center"/>
          </w:tcPr>
          <w:p w14:paraId="4D9F4286">
            <w:pPr>
              <w:spacing w:line="240" w:lineRule="auto"/>
              <w:ind w:firstLine="0" w:firstLineChars="0"/>
              <w:jc w:val="center"/>
              <w:rPr>
                <w:rFonts w:eastAsia="宋体" w:cs="Times New Roman"/>
                <w:sz w:val="20"/>
                <w:szCs w:val="20"/>
              </w:rPr>
            </w:pPr>
            <w:r>
              <w:rPr>
                <w:rFonts w:eastAsia="宋体" w:cs="Times New Roman"/>
                <w:sz w:val="20"/>
                <w:szCs w:val="20"/>
              </w:rPr>
              <w:t>自然灾害防止</w:t>
            </w:r>
          </w:p>
        </w:tc>
        <w:tc>
          <w:tcPr>
            <w:tcW w:w="1110" w:type="pct"/>
            <w:shd w:val="clear" w:color="000000" w:fill="FFFFFF"/>
            <w:vAlign w:val="center"/>
          </w:tcPr>
          <w:p w14:paraId="71C7E7C4">
            <w:pPr>
              <w:spacing w:line="240" w:lineRule="auto"/>
              <w:ind w:firstLine="0" w:firstLineChars="0"/>
              <w:jc w:val="center"/>
              <w:rPr>
                <w:rFonts w:eastAsia="宋体" w:cs="Times New Roman"/>
                <w:sz w:val="20"/>
                <w:szCs w:val="20"/>
              </w:rPr>
            </w:pPr>
            <w:r>
              <w:rPr>
                <w:rFonts w:eastAsia="宋体" w:cs="Times New Roman"/>
                <w:sz w:val="20"/>
                <w:szCs w:val="20"/>
              </w:rPr>
              <w:t>地质灾害防治</w:t>
            </w:r>
          </w:p>
        </w:tc>
        <w:tc>
          <w:tcPr>
            <w:tcW w:w="886" w:type="pct"/>
            <w:shd w:val="clear" w:color="000000" w:fill="FFFFFF"/>
            <w:vAlign w:val="center"/>
          </w:tcPr>
          <w:p w14:paraId="1D134949">
            <w:pPr>
              <w:spacing w:line="240" w:lineRule="auto"/>
              <w:ind w:firstLine="0" w:firstLineChars="0"/>
              <w:jc w:val="center"/>
              <w:rPr>
                <w:rFonts w:eastAsia="宋体" w:cs="Times New Roman"/>
                <w:sz w:val="20"/>
                <w:szCs w:val="20"/>
              </w:rPr>
            </w:pPr>
            <w:r>
              <w:rPr>
                <w:rFonts w:eastAsia="宋体" w:cs="Times New Roman"/>
                <w:sz w:val="20"/>
                <w:szCs w:val="20"/>
              </w:rPr>
              <w:t>617.34</w:t>
            </w:r>
          </w:p>
        </w:tc>
        <w:tc>
          <w:tcPr>
            <w:tcW w:w="700" w:type="pct"/>
            <w:shd w:val="clear" w:color="000000" w:fill="FFFFFF"/>
            <w:vAlign w:val="center"/>
          </w:tcPr>
          <w:p w14:paraId="07EF2B66">
            <w:pPr>
              <w:spacing w:line="240" w:lineRule="auto"/>
              <w:ind w:firstLine="0" w:firstLineChars="0"/>
              <w:jc w:val="center"/>
              <w:rPr>
                <w:rFonts w:eastAsia="宋体" w:cs="Times New Roman"/>
                <w:sz w:val="20"/>
                <w:szCs w:val="20"/>
              </w:rPr>
            </w:pPr>
            <w:r>
              <w:rPr>
                <w:rFonts w:eastAsia="宋体" w:cs="Times New Roman"/>
                <w:sz w:val="20"/>
                <w:szCs w:val="20"/>
              </w:rPr>
              <w:t>617.34</w:t>
            </w:r>
          </w:p>
        </w:tc>
      </w:tr>
      <w:tr w14:paraId="1825D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2304" w:type="pct"/>
            <w:gridSpan w:val="3"/>
            <w:shd w:val="clear" w:color="000000" w:fill="FFFFFF"/>
            <w:vAlign w:val="center"/>
          </w:tcPr>
          <w:p w14:paraId="7BEE3C96">
            <w:pPr>
              <w:spacing w:line="240" w:lineRule="auto"/>
              <w:ind w:firstLine="0" w:firstLineChars="0"/>
              <w:jc w:val="center"/>
              <w:rPr>
                <w:rFonts w:eastAsia="宋体" w:cs="Times New Roman"/>
                <w:b/>
                <w:bCs/>
                <w:sz w:val="20"/>
                <w:szCs w:val="20"/>
              </w:rPr>
            </w:pPr>
            <w:r>
              <w:rPr>
                <w:rFonts w:eastAsia="宋体" w:cs="Times New Roman"/>
                <w:b/>
                <w:bCs/>
                <w:sz w:val="20"/>
                <w:szCs w:val="20"/>
              </w:rPr>
              <w:t>合计</w:t>
            </w:r>
          </w:p>
        </w:tc>
        <w:tc>
          <w:tcPr>
            <w:tcW w:w="1110" w:type="pct"/>
            <w:shd w:val="clear" w:color="000000" w:fill="FFFFFF"/>
            <w:vAlign w:val="center"/>
          </w:tcPr>
          <w:p w14:paraId="7D974724">
            <w:pPr>
              <w:spacing w:line="240" w:lineRule="auto"/>
              <w:ind w:firstLine="0" w:firstLineChars="0"/>
              <w:jc w:val="center"/>
              <w:rPr>
                <w:rFonts w:eastAsia="宋体" w:cs="Times New Roman"/>
                <w:b/>
                <w:bCs/>
                <w:sz w:val="20"/>
                <w:szCs w:val="20"/>
              </w:rPr>
            </w:pPr>
            <w:r>
              <w:rPr>
                <w:rFonts w:eastAsia="宋体" w:cs="Times New Roman"/>
                <w:b/>
                <w:bCs/>
                <w:sz w:val="20"/>
                <w:szCs w:val="20"/>
              </w:rPr>
              <w:t>——</w:t>
            </w:r>
          </w:p>
        </w:tc>
        <w:tc>
          <w:tcPr>
            <w:tcW w:w="886" w:type="pct"/>
            <w:shd w:val="clear" w:color="000000" w:fill="FFFFFF"/>
            <w:vAlign w:val="center"/>
          </w:tcPr>
          <w:p w14:paraId="2F912BA3">
            <w:pPr>
              <w:spacing w:line="240" w:lineRule="auto"/>
              <w:ind w:firstLine="0" w:firstLineChars="0"/>
              <w:jc w:val="center"/>
              <w:rPr>
                <w:rFonts w:eastAsia="宋体" w:cs="Times New Roman"/>
                <w:b/>
                <w:bCs/>
                <w:sz w:val="20"/>
                <w:szCs w:val="20"/>
              </w:rPr>
            </w:pPr>
            <w:r>
              <w:rPr>
                <w:rFonts w:eastAsia="宋体" w:cs="Times New Roman"/>
                <w:b/>
                <w:bCs/>
                <w:sz w:val="20"/>
                <w:szCs w:val="20"/>
              </w:rPr>
              <w:t>62464.35</w:t>
            </w:r>
          </w:p>
        </w:tc>
        <w:tc>
          <w:tcPr>
            <w:tcW w:w="700" w:type="pct"/>
            <w:shd w:val="clear" w:color="000000" w:fill="FFFFFF"/>
            <w:vAlign w:val="center"/>
          </w:tcPr>
          <w:p w14:paraId="6F43D3EB">
            <w:pPr>
              <w:spacing w:line="240" w:lineRule="auto"/>
              <w:ind w:firstLine="0" w:firstLineChars="0"/>
              <w:jc w:val="center"/>
              <w:rPr>
                <w:rFonts w:eastAsia="宋体" w:cs="Times New Roman"/>
                <w:b/>
                <w:bCs/>
                <w:sz w:val="20"/>
                <w:szCs w:val="20"/>
              </w:rPr>
            </w:pPr>
            <w:r>
              <w:rPr>
                <w:rFonts w:eastAsia="宋体" w:cs="Times New Roman"/>
                <w:b/>
                <w:bCs/>
                <w:sz w:val="20"/>
                <w:szCs w:val="20"/>
              </w:rPr>
              <w:t>62464.35</w:t>
            </w:r>
          </w:p>
        </w:tc>
      </w:tr>
    </w:tbl>
    <w:p w14:paraId="7EDE6A52">
      <w:pPr>
        <w:ind w:firstLine="320" w:firstLineChars="100"/>
        <w:rPr>
          <w:rFonts w:eastAsia="楷体_GB2312" w:cs="Times New Roman"/>
          <w:sz w:val="32"/>
        </w:rPr>
      </w:pPr>
    </w:p>
    <w:p w14:paraId="35A1D8CE">
      <w:pPr>
        <w:pStyle w:val="3"/>
        <w:spacing w:line="600" w:lineRule="exact"/>
        <w:ind w:firstLine="643" w:firstLineChars="200"/>
        <w:jc w:val="both"/>
        <w:rPr>
          <w:rFonts w:eastAsia="楷体_GB2312" w:cs="Times New Roman"/>
          <w:sz w:val="32"/>
        </w:rPr>
      </w:pPr>
      <w:bookmarkStart w:id="21" w:name="_Toc77784243"/>
      <w:r>
        <w:rPr>
          <w:rFonts w:hint="eastAsia" w:eastAsia="楷体_GB2312" w:cs="Times New Roman"/>
          <w:sz w:val="32"/>
        </w:rPr>
        <w:t>（二）预算执行情况</w:t>
      </w:r>
      <w:bookmarkEnd w:id="21"/>
    </w:p>
    <w:p w14:paraId="1D072AFC">
      <w:pPr>
        <w:ind w:firstLine="640"/>
        <w:rPr>
          <w:rFonts w:eastAsia="仿宋_GB2312" w:cs="Times New Roman"/>
          <w:sz w:val="32"/>
          <w:szCs w:val="24"/>
        </w:rPr>
      </w:pPr>
      <w:r>
        <w:rPr>
          <w:rFonts w:hint="eastAsia" w:eastAsia="仿宋_GB2312" w:cs="Times New Roman"/>
          <w:sz w:val="32"/>
          <w:szCs w:val="24"/>
        </w:rPr>
        <w:t>预算执行下设部门总体执行进度单个指标，权重5.00分，实际得分5.00分，得分率100.00%。2020年绵竹市自然和规划局部门整体预算支出执行率100.00%，故未扣分。</w:t>
      </w:r>
    </w:p>
    <w:p w14:paraId="3708B859">
      <w:pPr>
        <w:ind w:firstLine="640"/>
        <w:rPr>
          <w:rFonts w:eastAsia="仿宋_GB2312" w:cs="Times New Roman"/>
          <w:sz w:val="32"/>
          <w:szCs w:val="24"/>
        </w:rPr>
      </w:pPr>
      <w:r>
        <w:rPr>
          <w:rFonts w:hint="eastAsia" w:eastAsia="仿宋_GB2312" w:cs="Times New Roman"/>
          <w:sz w:val="32"/>
          <w:szCs w:val="24"/>
        </w:rPr>
        <w:t>按支出性质来看，</w:t>
      </w:r>
      <w:r>
        <w:rPr>
          <w:rFonts w:eastAsia="仿宋_GB2312" w:cs="Times New Roman"/>
          <w:sz w:val="32"/>
          <w:szCs w:val="24"/>
        </w:rPr>
        <w:t>2020</w:t>
      </w:r>
      <w:r>
        <w:rPr>
          <w:rFonts w:hint="eastAsia" w:eastAsia="仿宋_GB2312" w:cs="Times New Roman"/>
          <w:sz w:val="32"/>
          <w:szCs w:val="24"/>
        </w:rPr>
        <w:t>年自然资源和规划局部门整体基本支出执行率</w:t>
      </w:r>
      <w:r>
        <w:rPr>
          <w:rFonts w:eastAsia="仿宋_GB2312" w:cs="Times New Roman"/>
          <w:sz w:val="32"/>
          <w:szCs w:val="24"/>
        </w:rPr>
        <w:t>100.00</w:t>
      </w:r>
      <w:r>
        <w:rPr>
          <w:rFonts w:hint="eastAsia" w:eastAsia="仿宋_GB2312" w:cs="Times New Roman"/>
          <w:sz w:val="32"/>
          <w:szCs w:val="24"/>
        </w:rPr>
        <w:t>%，项目支出执行1</w:t>
      </w:r>
      <w:r>
        <w:rPr>
          <w:rFonts w:eastAsia="仿宋_GB2312" w:cs="Times New Roman"/>
          <w:sz w:val="32"/>
          <w:szCs w:val="24"/>
        </w:rPr>
        <w:t>00.00</w:t>
      </w:r>
      <w:r>
        <w:rPr>
          <w:rFonts w:hint="eastAsia" w:eastAsia="仿宋_GB2312" w:cs="Times New Roman"/>
          <w:sz w:val="32"/>
          <w:szCs w:val="24"/>
        </w:rPr>
        <w:t>%。</w:t>
      </w:r>
    </w:p>
    <w:p w14:paraId="64950E03">
      <w:pPr>
        <w:ind w:firstLine="0" w:firstLineChars="0"/>
        <w:jc w:val="center"/>
        <w:rPr>
          <w:rFonts w:eastAsia="幼圆" w:cs="Times New Roman"/>
          <w:b/>
          <w:szCs w:val="32"/>
        </w:rPr>
      </w:pPr>
      <w:r>
        <w:rPr>
          <w:rFonts w:hint="eastAsia" w:eastAsia="幼圆" w:cs="Times New Roman"/>
          <w:b/>
          <w:szCs w:val="32"/>
        </w:rPr>
        <w:t>附表</w:t>
      </w:r>
      <w:r>
        <w:rPr>
          <w:rFonts w:eastAsia="幼圆" w:cs="Times New Roman"/>
          <w:b/>
          <w:szCs w:val="32"/>
        </w:rPr>
        <w:t>2020</w:t>
      </w:r>
      <w:r>
        <w:rPr>
          <w:rFonts w:hint="eastAsia" w:eastAsia="幼圆" w:cs="Times New Roman"/>
          <w:b/>
          <w:szCs w:val="32"/>
        </w:rPr>
        <w:t>年绵竹市自然资源和规划局部门基本支出执行情况表</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0"/>
        <w:gridCol w:w="2517"/>
        <w:gridCol w:w="1504"/>
        <w:gridCol w:w="1850"/>
        <w:gridCol w:w="1631"/>
      </w:tblGrid>
      <w:tr w14:paraId="18761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trPr>
        <w:tc>
          <w:tcPr>
            <w:tcW w:w="563" w:type="pct"/>
            <w:shd w:val="clear" w:color="auto" w:fill="00516B"/>
            <w:noWrap/>
            <w:vAlign w:val="center"/>
          </w:tcPr>
          <w:p w14:paraId="45478792">
            <w:pPr>
              <w:spacing w:line="240" w:lineRule="auto"/>
              <w:ind w:firstLine="0" w:firstLineChars="0"/>
              <w:jc w:val="center"/>
              <w:rPr>
                <w:rFonts w:ascii="宋体" w:hAnsi="宋体" w:eastAsia="宋体"/>
                <w:b/>
                <w:bCs/>
                <w:color w:val="FFFFFF" w:themeColor="background1"/>
                <w:sz w:val="20"/>
                <w:szCs w:val="20"/>
              </w:rPr>
            </w:pPr>
            <w:r>
              <w:rPr>
                <w:rFonts w:ascii="宋体" w:hAnsi="宋体" w:eastAsia="宋体"/>
                <w:b/>
                <w:bCs/>
                <w:color w:val="FFFFFF" w:themeColor="background1"/>
                <w:sz w:val="20"/>
                <w:szCs w:val="20"/>
              </w:rPr>
              <w:t>支出类别</w:t>
            </w:r>
          </w:p>
        </w:tc>
        <w:tc>
          <w:tcPr>
            <w:tcW w:w="1486" w:type="pct"/>
            <w:shd w:val="clear" w:color="auto" w:fill="00516B"/>
            <w:vAlign w:val="center"/>
          </w:tcPr>
          <w:p w14:paraId="6428B6E4">
            <w:pPr>
              <w:spacing w:line="240" w:lineRule="auto"/>
              <w:ind w:firstLine="0" w:firstLineChars="0"/>
              <w:jc w:val="center"/>
              <w:rPr>
                <w:rFonts w:ascii="宋体" w:hAnsi="宋体" w:eastAsia="宋体"/>
                <w:b/>
                <w:bCs/>
                <w:color w:val="FFFFFF" w:themeColor="background1"/>
                <w:sz w:val="20"/>
                <w:szCs w:val="20"/>
              </w:rPr>
            </w:pPr>
            <w:r>
              <w:rPr>
                <w:rFonts w:ascii="宋体" w:hAnsi="宋体" w:eastAsia="宋体"/>
                <w:b/>
                <w:bCs/>
                <w:color w:val="FFFFFF" w:themeColor="background1"/>
                <w:sz w:val="20"/>
                <w:szCs w:val="20"/>
              </w:rPr>
              <w:t>科目名称</w:t>
            </w:r>
          </w:p>
        </w:tc>
        <w:tc>
          <w:tcPr>
            <w:tcW w:w="891" w:type="pct"/>
            <w:shd w:val="clear" w:color="auto" w:fill="00516B"/>
            <w:vAlign w:val="center"/>
          </w:tcPr>
          <w:p w14:paraId="08FD3447">
            <w:pPr>
              <w:spacing w:line="240" w:lineRule="auto"/>
              <w:ind w:firstLine="0" w:firstLineChars="0"/>
              <w:jc w:val="center"/>
              <w:rPr>
                <w:rFonts w:ascii="宋体" w:hAnsi="宋体" w:eastAsia="宋体"/>
                <w:b/>
                <w:bCs/>
                <w:color w:val="FFFFFF" w:themeColor="background1"/>
                <w:sz w:val="20"/>
                <w:szCs w:val="20"/>
              </w:rPr>
            </w:pPr>
            <w:r>
              <w:rPr>
                <w:rFonts w:hint="eastAsia" w:ascii="宋体" w:hAnsi="宋体" w:eastAsia="宋体"/>
                <w:b/>
                <w:bCs/>
                <w:color w:val="FFFFFF" w:themeColor="background1"/>
                <w:sz w:val="20"/>
                <w:szCs w:val="20"/>
              </w:rPr>
              <w:t>调整后预算</w:t>
            </w:r>
          </w:p>
          <w:p w14:paraId="74CB4D66">
            <w:pPr>
              <w:spacing w:line="240" w:lineRule="auto"/>
              <w:ind w:firstLine="0" w:firstLineChars="0"/>
              <w:jc w:val="center"/>
              <w:rPr>
                <w:rFonts w:ascii="宋体" w:hAnsi="宋体" w:eastAsia="宋体"/>
                <w:b/>
                <w:bCs/>
                <w:color w:val="FFFFFF" w:themeColor="background1"/>
                <w:sz w:val="20"/>
                <w:szCs w:val="20"/>
              </w:rPr>
            </w:pPr>
            <w:r>
              <w:rPr>
                <w:rFonts w:hint="eastAsia" w:ascii="宋体" w:hAnsi="宋体" w:eastAsia="宋体"/>
                <w:b/>
                <w:bCs/>
                <w:color w:val="FFFFFF" w:themeColor="background1"/>
                <w:sz w:val="20"/>
                <w:szCs w:val="20"/>
              </w:rPr>
              <w:t>数（万元）</w:t>
            </w:r>
          </w:p>
        </w:tc>
        <w:tc>
          <w:tcPr>
            <w:tcW w:w="1094" w:type="pct"/>
            <w:shd w:val="clear" w:color="auto" w:fill="00516B"/>
            <w:vAlign w:val="center"/>
          </w:tcPr>
          <w:p w14:paraId="36653871">
            <w:pPr>
              <w:spacing w:line="240" w:lineRule="auto"/>
              <w:ind w:firstLine="0" w:firstLineChars="0"/>
              <w:jc w:val="center"/>
              <w:rPr>
                <w:rFonts w:ascii="宋体" w:hAnsi="宋体" w:eastAsia="宋体"/>
                <w:b/>
                <w:bCs/>
                <w:color w:val="FFFFFF" w:themeColor="background1"/>
                <w:sz w:val="20"/>
                <w:szCs w:val="20"/>
              </w:rPr>
            </w:pPr>
            <w:r>
              <w:rPr>
                <w:rFonts w:hint="eastAsia" w:ascii="宋体" w:hAnsi="宋体" w:eastAsia="宋体"/>
                <w:b/>
                <w:bCs/>
                <w:color w:val="FFFFFF" w:themeColor="background1"/>
                <w:sz w:val="20"/>
                <w:szCs w:val="20"/>
              </w:rPr>
              <w:t>实际支出（万元）</w:t>
            </w:r>
          </w:p>
        </w:tc>
        <w:tc>
          <w:tcPr>
            <w:tcW w:w="966" w:type="pct"/>
            <w:shd w:val="clear" w:color="auto" w:fill="00516B"/>
            <w:vAlign w:val="center"/>
          </w:tcPr>
          <w:p w14:paraId="64332097">
            <w:pPr>
              <w:spacing w:line="240" w:lineRule="auto"/>
              <w:ind w:firstLine="0" w:firstLineChars="0"/>
              <w:jc w:val="center"/>
              <w:rPr>
                <w:rFonts w:ascii="宋体" w:hAnsi="宋体" w:eastAsia="宋体"/>
                <w:b/>
                <w:bCs/>
                <w:color w:val="FFFFFF" w:themeColor="background1"/>
                <w:sz w:val="20"/>
                <w:szCs w:val="20"/>
              </w:rPr>
            </w:pPr>
            <w:r>
              <w:rPr>
                <w:rFonts w:hint="eastAsia" w:ascii="宋体" w:hAnsi="宋体" w:eastAsia="宋体"/>
                <w:b/>
                <w:bCs/>
                <w:color w:val="FFFFFF" w:themeColor="background1"/>
                <w:sz w:val="20"/>
                <w:szCs w:val="20"/>
              </w:rPr>
              <w:t>执行率</w:t>
            </w:r>
          </w:p>
        </w:tc>
      </w:tr>
      <w:tr w14:paraId="114FF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563" w:type="pct"/>
            <w:vMerge w:val="restart"/>
            <w:shd w:val="clear" w:color="auto" w:fill="auto"/>
            <w:noWrap/>
            <w:vAlign w:val="center"/>
          </w:tcPr>
          <w:p w14:paraId="06440C55">
            <w:pPr>
              <w:spacing w:line="240" w:lineRule="auto"/>
              <w:ind w:firstLine="0" w:firstLineChars="0"/>
              <w:jc w:val="center"/>
              <w:rPr>
                <w:rFonts w:ascii="宋体" w:hAnsi="宋体" w:eastAsia="宋体"/>
                <w:b/>
                <w:bCs/>
                <w:sz w:val="20"/>
                <w:szCs w:val="20"/>
              </w:rPr>
            </w:pPr>
            <w:r>
              <w:rPr>
                <w:rFonts w:ascii="宋体" w:hAnsi="宋体" w:eastAsia="宋体"/>
                <w:b/>
                <w:bCs/>
                <w:sz w:val="20"/>
                <w:szCs w:val="20"/>
              </w:rPr>
              <w:t>基本支出</w:t>
            </w:r>
          </w:p>
        </w:tc>
        <w:tc>
          <w:tcPr>
            <w:tcW w:w="1486" w:type="pct"/>
            <w:vMerge w:val="restart"/>
            <w:shd w:val="clear" w:color="000000" w:fill="FFFFFF"/>
            <w:vAlign w:val="center"/>
          </w:tcPr>
          <w:p w14:paraId="7B99BF3D">
            <w:pPr>
              <w:spacing w:line="240" w:lineRule="auto"/>
              <w:ind w:firstLine="0" w:firstLineChars="0"/>
              <w:jc w:val="center"/>
              <w:rPr>
                <w:rFonts w:ascii="宋体" w:hAnsi="宋体" w:eastAsia="宋体"/>
                <w:sz w:val="20"/>
                <w:szCs w:val="20"/>
              </w:rPr>
            </w:pPr>
            <w:r>
              <w:rPr>
                <w:rFonts w:hint="eastAsia" w:ascii="宋体" w:hAnsi="宋体" w:eastAsia="宋体"/>
                <w:sz w:val="20"/>
                <w:szCs w:val="20"/>
              </w:rPr>
              <w:t>社会保障和就业支出</w:t>
            </w:r>
          </w:p>
        </w:tc>
        <w:tc>
          <w:tcPr>
            <w:tcW w:w="891" w:type="pct"/>
            <w:shd w:val="clear" w:color="000000" w:fill="FFFFFF"/>
            <w:vAlign w:val="center"/>
          </w:tcPr>
          <w:p w14:paraId="544A875D">
            <w:pPr>
              <w:spacing w:line="240" w:lineRule="auto"/>
              <w:ind w:firstLine="0" w:firstLineChars="0"/>
              <w:jc w:val="center"/>
              <w:rPr>
                <w:rFonts w:eastAsia="宋体" w:cs="Times New Roman"/>
                <w:sz w:val="20"/>
                <w:szCs w:val="20"/>
              </w:rPr>
            </w:pPr>
            <w:r>
              <w:rPr>
                <w:rFonts w:hint="eastAsia" w:eastAsia="宋体" w:cs="Times New Roman"/>
                <w:sz w:val="20"/>
                <w:szCs w:val="20"/>
              </w:rPr>
              <w:t>4</w:t>
            </w:r>
            <w:r>
              <w:rPr>
                <w:rFonts w:eastAsia="宋体" w:cs="Times New Roman"/>
                <w:sz w:val="20"/>
                <w:szCs w:val="20"/>
              </w:rPr>
              <w:t>88.12</w:t>
            </w:r>
          </w:p>
        </w:tc>
        <w:tc>
          <w:tcPr>
            <w:tcW w:w="1094" w:type="pct"/>
            <w:shd w:val="clear" w:color="000000" w:fill="FFFFFF"/>
            <w:vAlign w:val="center"/>
          </w:tcPr>
          <w:p w14:paraId="4A37CC88">
            <w:pPr>
              <w:spacing w:line="240" w:lineRule="auto"/>
              <w:ind w:firstLine="0" w:firstLineChars="0"/>
              <w:jc w:val="center"/>
              <w:rPr>
                <w:rFonts w:eastAsia="宋体" w:cs="Times New Roman"/>
                <w:sz w:val="20"/>
                <w:szCs w:val="20"/>
              </w:rPr>
            </w:pPr>
            <w:r>
              <w:rPr>
                <w:rFonts w:hint="eastAsia" w:eastAsia="宋体" w:cs="Times New Roman"/>
                <w:sz w:val="20"/>
                <w:szCs w:val="20"/>
              </w:rPr>
              <w:t>4</w:t>
            </w:r>
            <w:r>
              <w:rPr>
                <w:rFonts w:eastAsia="宋体" w:cs="Times New Roman"/>
                <w:sz w:val="20"/>
                <w:szCs w:val="20"/>
              </w:rPr>
              <w:t>88.12</w:t>
            </w:r>
          </w:p>
        </w:tc>
        <w:tc>
          <w:tcPr>
            <w:tcW w:w="966" w:type="pct"/>
            <w:shd w:val="clear" w:color="000000" w:fill="FFFFFF"/>
            <w:vAlign w:val="center"/>
          </w:tcPr>
          <w:p w14:paraId="59AE5DC3">
            <w:pPr>
              <w:spacing w:line="240" w:lineRule="auto"/>
              <w:ind w:firstLine="0" w:firstLineChars="0"/>
              <w:jc w:val="center"/>
              <w:rPr>
                <w:rFonts w:eastAsia="宋体" w:cs="Times New Roman"/>
                <w:sz w:val="20"/>
                <w:szCs w:val="20"/>
              </w:rPr>
            </w:pPr>
            <w:r>
              <w:rPr>
                <w:rFonts w:eastAsia="宋体" w:cs="Times New Roman"/>
                <w:sz w:val="20"/>
                <w:szCs w:val="20"/>
              </w:rPr>
              <w:t>100</w:t>
            </w:r>
            <w:r>
              <w:rPr>
                <w:rFonts w:hint="eastAsia" w:eastAsia="宋体" w:cs="Times New Roman"/>
                <w:sz w:val="20"/>
                <w:szCs w:val="20"/>
              </w:rPr>
              <w:t>%</w:t>
            </w:r>
          </w:p>
        </w:tc>
      </w:tr>
      <w:tr w14:paraId="3AFD8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563" w:type="pct"/>
            <w:vMerge w:val="continue"/>
            <w:shd w:val="clear" w:color="auto" w:fill="auto"/>
            <w:noWrap/>
            <w:vAlign w:val="center"/>
          </w:tcPr>
          <w:p w14:paraId="430F8CD4">
            <w:pPr>
              <w:spacing w:line="240" w:lineRule="auto"/>
              <w:ind w:firstLine="0" w:firstLineChars="0"/>
              <w:jc w:val="center"/>
              <w:rPr>
                <w:rFonts w:ascii="宋体" w:hAnsi="宋体" w:eastAsia="宋体"/>
                <w:b/>
                <w:bCs/>
                <w:sz w:val="20"/>
                <w:szCs w:val="20"/>
              </w:rPr>
            </w:pPr>
          </w:p>
        </w:tc>
        <w:tc>
          <w:tcPr>
            <w:tcW w:w="1486" w:type="pct"/>
            <w:vMerge w:val="continue"/>
            <w:shd w:val="clear" w:color="000000" w:fill="FFFFFF"/>
            <w:vAlign w:val="center"/>
          </w:tcPr>
          <w:p w14:paraId="469A6979">
            <w:pPr>
              <w:spacing w:line="240" w:lineRule="auto"/>
              <w:ind w:firstLine="0" w:firstLineChars="0"/>
              <w:jc w:val="center"/>
              <w:rPr>
                <w:rFonts w:ascii="宋体" w:hAnsi="宋体" w:eastAsia="宋体"/>
                <w:sz w:val="20"/>
                <w:szCs w:val="20"/>
              </w:rPr>
            </w:pPr>
          </w:p>
        </w:tc>
        <w:tc>
          <w:tcPr>
            <w:tcW w:w="891" w:type="pct"/>
            <w:shd w:val="clear" w:color="000000" w:fill="FFFFFF"/>
            <w:vAlign w:val="center"/>
          </w:tcPr>
          <w:p w14:paraId="2CCD133C">
            <w:pPr>
              <w:spacing w:line="240" w:lineRule="auto"/>
              <w:ind w:firstLine="0" w:firstLineChars="0"/>
              <w:jc w:val="center"/>
              <w:rPr>
                <w:rFonts w:eastAsia="宋体" w:cs="Times New Roman"/>
                <w:sz w:val="20"/>
                <w:szCs w:val="20"/>
              </w:rPr>
            </w:pPr>
            <w:r>
              <w:rPr>
                <w:rFonts w:eastAsia="宋体" w:cs="Times New Roman"/>
                <w:sz w:val="20"/>
                <w:szCs w:val="20"/>
              </w:rPr>
              <w:t>5.26</w:t>
            </w:r>
          </w:p>
        </w:tc>
        <w:tc>
          <w:tcPr>
            <w:tcW w:w="1094" w:type="pct"/>
            <w:shd w:val="clear" w:color="000000" w:fill="FFFFFF"/>
            <w:vAlign w:val="center"/>
          </w:tcPr>
          <w:p w14:paraId="5267BB30">
            <w:pPr>
              <w:spacing w:line="240" w:lineRule="auto"/>
              <w:ind w:firstLine="0" w:firstLineChars="0"/>
              <w:jc w:val="center"/>
              <w:rPr>
                <w:rFonts w:eastAsia="宋体" w:cs="Times New Roman"/>
                <w:sz w:val="20"/>
                <w:szCs w:val="20"/>
              </w:rPr>
            </w:pPr>
            <w:r>
              <w:rPr>
                <w:rFonts w:eastAsia="宋体" w:cs="Times New Roman"/>
                <w:sz w:val="20"/>
                <w:szCs w:val="20"/>
              </w:rPr>
              <w:t>5.26</w:t>
            </w:r>
          </w:p>
        </w:tc>
        <w:tc>
          <w:tcPr>
            <w:tcW w:w="966" w:type="pct"/>
            <w:shd w:val="clear" w:color="000000" w:fill="FFFFFF"/>
            <w:vAlign w:val="center"/>
          </w:tcPr>
          <w:p w14:paraId="70850AD5">
            <w:pPr>
              <w:spacing w:line="240" w:lineRule="auto"/>
              <w:ind w:firstLine="0" w:firstLineChars="0"/>
              <w:jc w:val="center"/>
              <w:rPr>
                <w:rFonts w:eastAsia="宋体" w:cs="Times New Roman"/>
                <w:sz w:val="20"/>
                <w:szCs w:val="20"/>
              </w:rPr>
            </w:pPr>
            <w:r>
              <w:rPr>
                <w:rFonts w:hint="eastAsia" w:eastAsia="宋体" w:cs="Times New Roman"/>
                <w:sz w:val="20"/>
                <w:szCs w:val="20"/>
              </w:rPr>
              <w:t>1</w:t>
            </w:r>
            <w:r>
              <w:rPr>
                <w:rFonts w:eastAsia="宋体" w:cs="Times New Roman"/>
                <w:sz w:val="20"/>
                <w:szCs w:val="20"/>
              </w:rPr>
              <w:t>00</w:t>
            </w:r>
            <w:r>
              <w:rPr>
                <w:rFonts w:hint="eastAsia" w:eastAsia="宋体" w:cs="Times New Roman"/>
                <w:sz w:val="20"/>
                <w:szCs w:val="20"/>
              </w:rPr>
              <w:t>%</w:t>
            </w:r>
          </w:p>
        </w:tc>
      </w:tr>
      <w:tr w14:paraId="35832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563" w:type="pct"/>
            <w:vMerge w:val="continue"/>
            <w:vAlign w:val="center"/>
          </w:tcPr>
          <w:p w14:paraId="2BC5E388">
            <w:pPr>
              <w:spacing w:line="240" w:lineRule="auto"/>
              <w:ind w:firstLine="0" w:firstLineChars="0"/>
              <w:jc w:val="center"/>
              <w:rPr>
                <w:rFonts w:ascii="宋体" w:hAnsi="宋体" w:eastAsia="宋体"/>
                <w:b/>
                <w:bCs/>
                <w:sz w:val="20"/>
                <w:szCs w:val="20"/>
              </w:rPr>
            </w:pPr>
          </w:p>
        </w:tc>
        <w:tc>
          <w:tcPr>
            <w:tcW w:w="1486" w:type="pct"/>
            <w:shd w:val="clear" w:color="000000" w:fill="FFFFFF"/>
            <w:vAlign w:val="center"/>
          </w:tcPr>
          <w:p w14:paraId="61B6B3AB">
            <w:pPr>
              <w:spacing w:line="240" w:lineRule="auto"/>
              <w:ind w:firstLine="0" w:firstLineChars="0"/>
              <w:jc w:val="center"/>
              <w:rPr>
                <w:rFonts w:ascii="宋体" w:hAnsi="宋体" w:eastAsia="宋体"/>
                <w:sz w:val="20"/>
                <w:szCs w:val="20"/>
              </w:rPr>
            </w:pPr>
            <w:r>
              <w:rPr>
                <w:rFonts w:hint="eastAsia" w:ascii="宋体" w:hAnsi="宋体" w:eastAsia="宋体"/>
                <w:sz w:val="20"/>
                <w:szCs w:val="20"/>
              </w:rPr>
              <w:t>卫生健康支出</w:t>
            </w:r>
          </w:p>
        </w:tc>
        <w:tc>
          <w:tcPr>
            <w:tcW w:w="891" w:type="pct"/>
            <w:shd w:val="clear" w:color="000000" w:fill="FFFFFF"/>
            <w:vAlign w:val="center"/>
          </w:tcPr>
          <w:p w14:paraId="39178A1A">
            <w:pPr>
              <w:spacing w:line="240" w:lineRule="auto"/>
              <w:ind w:firstLine="0" w:firstLineChars="0"/>
              <w:jc w:val="center"/>
              <w:rPr>
                <w:rFonts w:eastAsia="宋体" w:cs="Times New Roman"/>
                <w:sz w:val="20"/>
                <w:szCs w:val="20"/>
              </w:rPr>
            </w:pPr>
            <w:r>
              <w:rPr>
                <w:rFonts w:hint="eastAsia" w:eastAsia="宋体" w:cs="Times New Roman"/>
                <w:sz w:val="20"/>
                <w:szCs w:val="20"/>
              </w:rPr>
              <w:t>6</w:t>
            </w:r>
            <w:r>
              <w:rPr>
                <w:rFonts w:eastAsia="宋体" w:cs="Times New Roman"/>
                <w:sz w:val="20"/>
                <w:szCs w:val="20"/>
              </w:rPr>
              <w:t>1.75</w:t>
            </w:r>
          </w:p>
        </w:tc>
        <w:tc>
          <w:tcPr>
            <w:tcW w:w="1094" w:type="pct"/>
            <w:shd w:val="clear" w:color="000000" w:fill="FFFFFF"/>
            <w:vAlign w:val="center"/>
          </w:tcPr>
          <w:p w14:paraId="5719DF43">
            <w:pPr>
              <w:spacing w:line="240" w:lineRule="auto"/>
              <w:ind w:firstLine="0" w:firstLineChars="0"/>
              <w:jc w:val="center"/>
              <w:rPr>
                <w:rFonts w:eastAsia="宋体" w:cs="Times New Roman"/>
                <w:sz w:val="20"/>
                <w:szCs w:val="20"/>
              </w:rPr>
            </w:pPr>
            <w:r>
              <w:rPr>
                <w:rFonts w:eastAsia="宋体" w:cs="Times New Roman"/>
                <w:sz w:val="20"/>
                <w:szCs w:val="20"/>
              </w:rPr>
              <w:t>61.75</w:t>
            </w:r>
          </w:p>
        </w:tc>
        <w:tc>
          <w:tcPr>
            <w:tcW w:w="966" w:type="pct"/>
            <w:shd w:val="clear" w:color="000000" w:fill="FFFFFF"/>
            <w:vAlign w:val="center"/>
          </w:tcPr>
          <w:p w14:paraId="1696E2B0">
            <w:pPr>
              <w:spacing w:line="240" w:lineRule="auto"/>
              <w:ind w:firstLine="0" w:firstLineChars="0"/>
              <w:jc w:val="center"/>
              <w:rPr>
                <w:rFonts w:eastAsia="宋体" w:cs="Times New Roman"/>
                <w:sz w:val="20"/>
                <w:szCs w:val="20"/>
              </w:rPr>
            </w:pPr>
            <w:r>
              <w:rPr>
                <w:rFonts w:eastAsia="宋体" w:cs="Times New Roman"/>
                <w:sz w:val="20"/>
                <w:szCs w:val="20"/>
              </w:rPr>
              <w:t>100</w:t>
            </w:r>
            <w:r>
              <w:rPr>
                <w:rFonts w:hint="eastAsia" w:eastAsia="宋体" w:cs="Times New Roman"/>
                <w:sz w:val="20"/>
                <w:szCs w:val="20"/>
              </w:rPr>
              <w:t>%</w:t>
            </w:r>
          </w:p>
        </w:tc>
      </w:tr>
      <w:tr w14:paraId="22FBC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563" w:type="pct"/>
            <w:vMerge w:val="continue"/>
            <w:vAlign w:val="center"/>
          </w:tcPr>
          <w:p w14:paraId="03CE348E">
            <w:pPr>
              <w:spacing w:line="240" w:lineRule="auto"/>
              <w:ind w:firstLine="0" w:firstLineChars="0"/>
              <w:jc w:val="center"/>
              <w:rPr>
                <w:rFonts w:ascii="宋体" w:hAnsi="宋体" w:eastAsia="宋体"/>
                <w:b/>
                <w:bCs/>
                <w:sz w:val="20"/>
                <w:szCs w:val="20"/>
              </w:rPr>
            </w:pPr>
          </w:p>
        </w:tc>
        <w:tc>
          <w:tcPr>
            <w:tcW w:w="1486" w:type="pct"/>
            <w:shd w:val="clear" w:color="000000" w:fill="FFFFFF"/>
            <w:vAlign w:val="center"/>
          </w:tcPr>
          <w:p w14:paraId="18C2E356">
            <w:pPr>
              <w:spacing w:line="240" w:lineRule="auto"/>
              <w:ind w:firstLine="0" w:firstLineChars="0"/>
              <w:jc w:val="center"/>
              <w:rPr>
                <w:rFonts w:ascii="宋体" w:hAnsi="宋体" w:eastAsia="宋体"/>
                <w:sz w:val="20"/>
                <w:szCs w:val="20"/>
              </w:rPr>
            </w:pPr>
            <w:r>
              <w:rPr>
                <w:rFonts w:hint="eastAsia" w:ascii="宋体" w:hAnsi="宋体" w:eastAsia="宋体"/>
                <w:sz w:val="20"/>
                <w:szCs w:val="20"/>
              </w:rPr>
              <w:t>农业水支出</w:t>
            </w:r>
          </w:p>
        </w:tc>
        <w:tc>
          <w:tcPr>
            <w:tcW w:w="891" w:type="pct"/>
            <w:shd w:val="clear" w:color="000000" w:fill="FFFFFF"/>
            <w:vAlign w:val="center"/>
          </w:tcPr>
          <w:p w14:paraId="0798131E">
            <w:pPr>
              <w:spacing w:line="240" w:lineRule="auto"/>
              <w:ind w:firstLine="0" w:firstLineChars="0"/>
              <w:jc w:val="center"/>
              <w:rPr>
                <w:rFonts w:eastAsia="宋体" w:cs="Times New Roman"/>
                <w:sz w:val="20"/>
                <w:szCs w:val="20"/>
              </w:rPr>
            </w:pPr>
            <w:r>
              <w:rPr>
                <w:rFonts w:hint="eastAsia" w:eastAsia="宋体" w:cs="Times New Roman"/>
                <w:sz w:val="20"/>
                <w:szCs w:val="20"/>
              </w:rPr>
              <w:t>7</w:t>
            </w:r>
            <w:r>
              <w:rPr>
                <w:rFonts w:eastAsia="宋体" w:cs="Times New Roman"/>
                <w:sz w:val="20"/>
                <w:szCs w:val="20"/>
              </w:rPr>
              <w:t>64.59</w:t>
            </w:r>
          </w:p>
        </w:tc>
        <w:tc>
          <w:tcPr>
            <w:tcW w:w="1094" w:type="pct"/>
            <w:shd w:val="clear" w:color="000000" w:fill="FFFFFF"/>
            <w:vAlign w:val="center"/>
          </w:tcPr>
          <w:p w14:paraId="70221434">
            <w:pPr>
              <w:spacing w:line="240" w:lineRule="auto"/>
              <w:ind w:firstLine="0" w:firstLineChars="0"/>
              <w:jc w:val="center"/>
              <w:rPr>
                <w:rFonts w:eastAsia="宋体" w:cs="Times New Roman"/>
                <w:sz w:val="20"/>
                <w:szCs w:val="20"/>
              </w:rPr>
            </w:pPr>
            <w:r>
              <w:rPr>
                <w:rFonts w:eastAsia="宋体" w:cs="Times New Roman"/>
                <w:sz w:val="20"/>
                <w:szCs w:val="20"/>
              </w:rPr>
              <w:t>764.59</w:t>
            </w:r>
          </w:p>
        </w:tc>
        <w:tc>
          <w:tcPr>
            <w:tcW w:w="966" w:type="pct"/>
            <w:shd w:val="clear" w:color="000000" w:fill="FFFFFF"/>
            <w:vAlign w:val="center"/>
          </w:tcPr>
          <w:p w14:paraId="666DF278">
            <w:pPr>
              <w:spacing w:line="240" w:lineRule="auto"/>
              <w:ind w:firstLine="0" w:firstLineChars="0"/>
              <w:jc w:val="center"/>
              <w:rPr>
                <w:rFonts w:eastAsia="宋体" w:cs="Times New Roman"/>
                <w:sz w:val="20"/>
                <w:szCs w:val="20"/>
              </w:rPr>
            </w:pPr>
            <w:r>
              <w:rPr>
                <w:rFonts w:eastAsia="宋体" w:cs="Times New Roman"/>
                <w:sz w:val="20"/>
                <w:szCs w:val="20"/>
              </w:rPr>
              <w:t>100</w:t>
            </w:r>
            <w:r>
              <w:rPr>
                <w:rFonts w:hint="eastAsia" w:eastAsia="宋体" w:cs="Times New Roman"/>
                <w:sz w:val="20"/>
                <w:szCs w:val="20"/>
              </w:rPr>
              <w:t>%</w:t>
            </w:r>
          </w:p>
        </w:tc>
      </w:tr>
      <w:tr w14:paraId="15508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563" w:type="pct"/>
            <w:vMerge w:val="continue"/>
            <w:vAlign w:val="center"/>
          </w:tcPr>
          <w:p w14:paraId="313BFC5B">
            <w:pPr>
              <w:spacing w:line="240" w:lineRule="auto"/>
              <w:ind w:firstLine="0" w:firstLineChars="0"/>
              <w:jc w:val="center"/>
              <w:rPr>
                <w:rFonts w:ascii="宋体" w:hAnsi="宋体" w:eastAsia="宋体"/>
                <w:b/>
                <w:bCs/>
                <w:sz w:val="20"/>
                <w:szCs w:val="20"/>
              </w:rPr>
            </w:pPr>
          </w:p>
        </w:tc>
        <w:tc>
          <w:tcPr>
            <w:tcW w:w="1486" w:type="pct"/>
            <w:shd w:val="clear" w:color="000000" w:fill="FFFFFF"/>
            <w:vAlign w:val="center"/>
          </w:tcPr>
          <w:p w14:paraId="654D0380">
            <w:pPr>
              <w:spacing w:line="240" w:lineRule="auto"/>
              <w:ind w:firstLine="0" w:firstLineChars="0"/>
              <w:jc w:val="center"/>
              <w:rPr>
                <w:rFonts w:ascii="宋体" w:hAnsi="宋体" w:eastAsia="宋体"/>
                <w:sz w:val="20"/>
                <w:szCs w:val="20"/>
              </w:rPr>
            </w:pPr>
            <w:r>
              <w:rPr>
                <w:rFonts w:hint="eastAsia" w:ascii="宋体" w:hAnsi="宋体" w:eastAsia="宋体"/>
                <w:sz w:val="20"/>
                <w:szCs w:val="20"/>
              </w:rPr>
              <w:t>自然资源海洋气象等支出</w:t>
            </w:r>
          </w:p>
        </w:tc>
        <w:tc>
          <w:tcPr>
            <w:tcW w:w="891" w:type="pct"/>
            <w:shd w:val="clear" w:color="000000" w:fill="FFFFFF"/>
            <w:vAlign w:val="center"/>
          </w:tcPr>
          <w:p w14:paraId="568C3A89">
            <w:pPr>
              <w:spacing w:line="240" w:lineRule="auto"/>
              <w:ind w:firstLine="0" w:firstLineChars="0"/>
              <w:jc w:val="center"/>
              <w:rPr>
                <w:rFonts w:eastAsia="宋体" w:cs="Times New Roman"/>
                <w:sz w:val="20"/>
                <w:szCs w:val="20"/>
              </w:rPr>
            </w:pPr>
            <w:r>
              <w:rPr>
                <w:rFonts w:hint="eastAsia" w:eastAsia="宋体" w:cs="Times New Roman"/>
                <w:sz w:val="20"/>
                <w:szCs w:val="20"/>
              </w:rPr>
              <w:t>1</w:t>
            </w:r>
            <w:r>
              <w:rPr>
                <w:rFonts w:eastAsia="宋体" w:cs="Times New Roman"/>
                <w:sz w:val="20"/>
                <w:szCs w:val="20"/>
              </w:rPr>
              <w:t>250.56</w:t>
            </w:r>
          </w:p>
        </w:tc>
        <w:tc>
          <w:tcPr>
            <w:tcW w:w="1094" w:type="pct"/>
            <w:shd w:val="clear" w:color="000000" w:fill="FFFFFF"/>
            <w:vAlign w:val="center"/>
          </w:tcPr>
          <w:p w14:paraId="5CAE8F55">
            <w:pPr>
              <w:spacing w:line="240" w:lineRule="auto"/>
              <w:ind w:firstLine="0" w:firstLineChars="0"/>
              <w:jc w:val="center"/>
              <w:rPr>
                <w:rFonts w:eastAsia="宋体" w:cs="Times New Roman"/>
                <w:sz w:val="20"/>
                <w:szCs w:val="20"/>
              </w:rPr>
            </w:pPr>
            <w:r>
              <w:rPr>
                <w:rFonts w:eastAsia="宋体" w:cs="Times New Roman"/>
                <w:sz w:val="20"/>
                <w:szCs w:val="20"/>
              </w:rPr>
              <w:t>1250.56</w:t>
            </w:r>
          </w:p>
        </w:tc>
        <w:tc>
          <w:tcPr>
            <w:tcW w:w="966" w:type="pct"/>
            <w:shd w:val="clear" w:color="000000" w:fill="FFFFFF"/>
            <w:vAlign w:val="center"/>
          </w:tcPr>
          <w:p w14:paraId="2FBD897F">
            <w:pPr>
              <w:spacing w:line="240" w:lineRule="auto"/>
              <w:ind w:firstLine="0" w:firstLineChars="0"/>
              <w:jc w:val="center"/>
              <w:rPr>
                <w:rFonts w:eastAsia="宋体" w:cs="Times New Roman"/>
                <w:sz w:val="20"/>
                <w:szCs w:val="20"/>
              </w:rPr>
            </w:pPr>
            <w:r>
              <w:rPr>
                <w:rFonts w:eastAsia="宋体" w:cs="Times New Roman"/>
                <w:sz w:val="20"/>
                <w:szCs w:val="20"/>
              </w:rPr>
              <w:t>100</w:t>
            </w:r>
            <w:r>
              <w:rPr>
                <w:rFonts w:hint="eastAsia" w:eastAsia="宋体" w:cs="Times New Roman"/>
                <w:sz w:val="20"/>
                <w:szCs w:val="20"/>
              </w:rPr>
              <w:t>%</w:t>
            </w:r>
          </w:p>
        </w:tc>
      </w:tr>
      <w:tr w14:paraId="34CD3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563" w:type="pct"/>
            <w:vMerge w:val="continue"/>
            <w:vAlign w:val="center"/>
          </w:tcPr>
          <w:p w14:paraId="4DC748AC">
            <w:pPr>
              <w:spacing w:line="240" w:lineRule="auto"/>
              <w:ind w:firstLine="0" w:firstLineChars="0"/>
              <w:jc w:val="center"/>
              <w:rPr>
                <w:rFonts w:ascii="宋体" w:hAnsi="宋体" w:eastAsia="宋体"/>
                <w:b/>
                <w:bCs/>
                <w:sz w:val="20"/>
                <w:szCs w:val="20"/>
              </w:rPr>
            </w:pPr>
          </w:p>
        </w:tc>
        <w:tc>
          <w:tcPr>
            <w:tcW w:w="1486" w:type="pct"/>
            <w:shd w:val="clear" w:color="000000" w:fill="FFFFFF"/>
            <w:vAlign w:val="center"/>
          </w:tcPr>
          <w:p w14:paraId="713BBB95">
            <w:pPr>
              <w:spacing w:line="240" w:lineRule="auto"/>
              <w:ind w:firstLine="0" w:firstLineChars="0"/>
              <w:jc w:val="center"/>
              <w:rPr>
                <w:rFonts w:ascii="宋体" w:hAnsi="宋体" w:eastAsia="宋体"/>
                <w:sz w:val="20"/>
                <w:szCs w:val="20"/>
              </w:rPr>
            </w:pPr>
            <w:r>
              <w:rPr>
                <w:rFonts w:ascii="宋体" w:hAnsi="宋体" w:eastAsia="宋体"/>
                <w:sz w:val="20"/>
                <w:szCs w:val="20"/>
              </w:rPr>
              <w:t>住</w:t>
            </w:r>
            <w:r>
              <w:rPr>
                <w:rFonts w:hint="eastAsia" w:ascii="宋体" w:hAnsi="宋体" w:eastAsia="宋体"/>
                <w:sz w:val="20"/>
                <w:szCs w:val="20"/>
              </w:rPr>
              <w:t>房保障支出</w:t>
            </w:r>
          </w:p>
        </w:tc>
        <w:tc>
          <w:tcPr>
            <w:tcW w:w="891" w:type="pct"/>
            <w:shd w:val="clear" w:color="000000" w:fill="FFFFFF"/>
            <w:vAlign w:val="center"/>
          </w:tcPr>
          <w:p w14:paraId="1B983FD0">
            <w:pPr>
              <w:spacing w:line="240" w:lineRule="auto"/>
              <w:ind w:firstLine="0" w:firstLineChars="0"/>
              <w:jc w:val="center"/>
              <w:rPr>
                <w:rFonts w:eastAsia="宋体" w:cs="Times New Roman"/>
                <w:sz w:val="20"/>
                <w:szCs w:val="20"/>
              </w:rPr>
            </w:pPr>
            <w:r>
              <w:rPr>
                <w:rFonts w:eastAsia="宋体" w:cs="Times New Roman"/>
                <w:sz w:val="20"/>
                <w:szCs w:val="20"/>
              </w:rPr>
              <w:t>201.09</w:t>
            </w:r>
          </w:p>
        </w:tc>
        <w:tc>
          <w:tcPr>
            <w:tcW w:w="1094" w:type="pct"/>
            <w:shd w:val="clear" w:color="000000" w:fill="FFFFFF"/>
            <w:vAlign w:val="center"/>
          </w:tcPr>
          <w:p w14:paraId="3AD4CBA1">
            <w:pPr>
              <w:spacing w:line="240" w:lineRule="auto"/>
              <w:ind w:firstLine="0" w:firstLineChars="0"/>
              <w:jc w:val="center"/>
              <w:rPr>
                <w:rFonts w:eastAsia="宋体" w:cs="Times New Roman"/>
                <w:sz w:val="20"/>
                <w:szCs w:val="20"/>
              </w:rPr>
            </w:pPr>
            <w:r>
              <w:rPr>
                <w:rFonts w:eastAsia="宋体" w:cs="Times New Roman"/>
                <w:sz w:val="20"/>
                <w:szCs w:val="20"/>
              </w:rPr>
              <w:t>201.09</w:t>
            </w:r>
          </w:p>
        </w:tc>
        <w:tc>
          <w:tcPr>
            <w:tcW w:w="966" w:type="pct"/>
            <w:shd w:val="clear" w:color="000000" w:fill="FFFFFF"/>
            <w:vAlign w:val="center"/>
          </w:tcPr>
          <w:p w14:paraId="1094BAC1">
            <w:pPr>
              <w:spacing w:line="240" w:lineRule="auto"/>
              <w:ind w:firstLine="0" w:firstLineChars="0"/>
              <w:jc w:val="center"/>
              <w:rPr>
                <w:rFonts w:eastAsia="宋体" w:cs="Times New Roman"/>
                <w:sz w:val="20"/>
                <w:szCs w:val="20"/>
              </w:rPr>
            </w:pPr>
            <w:r>
              <w:rPr>
                <w:rFonts w:hint="eastAsia" w:eastAsia="宋体" w:cs="Times New Roman"/>
                <w:sz w:val="20"/>
                <w:szCs w:val="20"/>
              </w:rPr>
              <w:t>1</w:t>
            </w:r>
            <w:r>
              <w:rPr>
                <w:rFonts w:eastAsia="宋体" w:cs="Times New Roman"/>
                <w:sz w:val="20"/>
                <w:szCs w:val="20"/>
              </w:rPr>
              <w:t>00</w:t>
            </w:r>
            <w:r>
              <w:rPr>
                <w:rFonts w:hint="eastAsia" w:eastAsia="宋体" w:cs="Times New Roman"/>
                <w:sz w:val="20"/>
                <w:szCs w:val="20"/>
              </w:rPr>
              <w:t>%</w:t>
            </w:r>
          </w:p>
        </w:tc>
      </w:tr>
      <w:tr w14:paraId="7C1BA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2049" w:type="pct"/>
            <w:gridSpan w:val="2"/>
            <w:vAlign w:val="center"/>
          </w:tcPr>
          <w:p w14:paraId="4052EFC0">
            <w:pPr>
              <w:spacing w:line="240" w:lineRule="auto"/>
              <w:ind w:firstLine="0" w:firstLineChars="0"/>
              <w:jc w:val="center"/>
              <w:rPr>
                <w:rFonts w:ascii="宋体" w:hAnsi="宋体" w:eastAsia="宋体"/>
                <w:b/>
                <w:bCs/>
                <w:sz w:val="20"/>
                <w:szCs w:val="20"/>
              </w:rPr>
            </w:pPr>
            <w:r>
              <w:rPr>
                <w:rFonts w:hint="eastAsia" w:ascii="宋体" w:hAnsi="宋体" w:eastAsia="宋体"/>
                <w:b/>
                <w:bCs/>
                <w:sz w:val="20"/>
                <w:szCs w:val="20"/>
              </w:rPr>
              <w:t>合计</w:t>
            </w:r>
          </w:p>
        </w:tc>
        <w:tc>
          <w:tcPr>
            <w:tcW w:w="891" w:type="pct"/>
            <w:shd w:val="clear" w:color="000000" w:fill="FFFFFF"/>
            <w:vAlign w:val="center"/>
          </w:tcPr>
          <w:p w14:paraId="48C46E18">
            <w:pPr>
              <w:spacing w:line="240" w:lineRule="auto"/>
              <w:ind w:firstLine="0" w:firstLineChars="0"/>
              <w:jc w:val="center"/>
              <w:rPr>
                <w:rFonts w:eastAsia="宋体" w:cs="Times New Roman"/>
                <w:b/>
                <w:bCs/>
                <w:sz w:val="20"/>
                <w:szCs w:val="20"/>
              </w:rPr>
            </w:pPr>
            <w:r>
              <w:rPr>
                <w:rFonts w:hint="eastAsia" w:eastAsia="宋体" w:cs="Times New Roman"/>
                <w:b/>
                <w:bCs/>
                <w:sz w:val="20"/>
                <w:szCs w:val="20"/>
              </w:rPr>
              <w:t>2</w:t>
            </w:r>
            <w:r>
              <w:rPr>
                <w:rFonts w:eastAsia="宋体" w:cs="Times New Roman"/>
                <w:b/>
                <w:bCs/>
                <w:sz w:val="20"/>
                <w:szCs w:val="20"/>
              </w:rPr>
              <w:t>771.37</w:t>
            </w:r>
          </w:p>
        </w:tc>
        <w:tc>
          <w:tcPr>
            <w:tcW w:w="1094" w:type="pct"/>
            <w:shd w:val="clear" w:color="000000" w:fill="FFFFFF"/>
            <w:vAlign w:val="center"/>
          </w:tcPr>
          <w:p w14:paraId="32C0644A">
            <w:pPr>
              <w:spacing w:line="240" w:lineRule="auto"/>
              <w:ind w:firstLine="0" w:firstLineChars="0"/>
              <w:jc w:val="center"/>
              <w:rPr>
                <w:rFonts w:eastAsia="宋体" w:cs="Times New Roman"/>
                <w:b/>
                <w:bCs/>
                <w:sz w:val="20"/>
                <w:szCs w:val="20"/>
              </w:rPr>
            </w:pPr>
            <w:r>
              <w:rPr>
                <w:rFonts w:hint="eastAsia" w:eastAsia="宋体" w:cs="Times New Roman"/>
                <w:b/>
                <w:bCs/>
                <w:sz w:val="20"/>
                <w:szCs w:val="20"/>
              </w:rPr>
              <w:t>2</w:t>
            </w:r>
            <w:r>
              <w:rPr>
                <w:rFonts w:eastAsia="宋体" w:cs="Times New Roman"/>
                <w:b/>
                <w:bCs/>
                <w:sz w:val="20"/>
                <w:szCs w:val="20"/>
              </w:rPr>
              <w:t>771.37</w:t>
            </w:r>
          </w:p>
        </w:tc>
        <w:tc>
          <w:tcPr>
            <w:tcW w:w="966" w:type="pct"/>
            <w:shd w:val="clear" w:color="000000" w:fill="FFFFFF"/>
            <w:vAlign w:val="center"/>
          </w:tcPr>
          <w:p w14:paraId="19D42EFF">
            <w:pPr>
              <w:spacing w:line="240" w:lineRule="auto"/>
              <w:ind w:firstLine="0" w:firstLineChars="0"/>
              <w:jc w:val="center"/>
              <w:rPr>
                <w:rFonts w:eastAsia="宋体" w:cs="Times New Roman"/>
                <w:b/>
                <w:bCs/>
                <w:sz w:val="20"/>
                <w:szCs w:val="20"/>
              </w:rPr>
            </w:pPr>
            <w:r>
              <w:rPr>
                <w:rFonts w:hint="eastAsia" w:eastAsia="宋体" w:cs="Times New Roman"/>
                <w:b/>
                <w:bCs/>
                <w:sz w:val="20"/>
                <w:szCs w:val="20"/>
              </w:rPr>
              <w:t>1</w:t>
            </w:r>
            <w:r>
              <w:rPr>
                <w:rFonts w:eastAsia="宋体" w:cs="Times New Roman"/>
                <w:b/>
                <w:bCs/>
                <w:sz w:val="20"/>
                <w:szCs w:val="20"/>
              </w:rPr>
              <w:t>00</w:t>
            </w:r>
            <w:r>
              <w:rPr>
                <w:rFonts w:hint="eastAsia" w:eastAsia="宋体" w:cs="Times New Roman"/>
                <w:b/>
                <w:bCs/>
                <w:sz w:val="20"/>
                <w:szCs w:val="20"/>
              </w:rPr>
              <w:t>%</w:t>
            </w:r>
          </w:p>
        </w:tc>
      </w:tr>
    </w:tbl>
    <w:p w14:paraId="4B7E22D6">
      <w:pPr>
        <w:spacing w:after="156" w:afterLines="50"/>
        <w:ind w:firstLine="0" w:firstLineChars="0"/>
        <w:jc w:val="center"/>
        <w:rPr>
          <w:rFonts w:eastAsia="幼圆" w:cs="Times New Roman"/>
          <w:b/>
          <w:szCs w:val="32"/>
        </w:rPr>
      </w:pPr>
      <w:r>
        <w:rPr>
          <w:rFonts w:hint="eastAsia" w:eastAsia="幼圆" w:cs="Times New Roman"/>
          <w:b/>
          <w:szCs w:val="32"/>
        </w:rPr>
        <w:t>附表</w:t>
      </w:r>
      <w:r>
        <w:rPr>
          <w:rFonts w:eastAsia="幼圆" w:cs="Times New Roman"/>
          <w:b/>
          <w:szCs w:val="32"/>
        </w:rPr>
        <w:t>2020</w:t>
      </w:r>
      <w:r>
        <w:rPr>
          <w:rFonts w:hint="eastAsia" w:eastAsia="幼圆" w:cs="Times New Roman"/>
          <w:b/>
          <w:szCs w:val="32"/>
        </w:rPr>
        <w:t>年绵竹市自然资源和规划局项目支出执行情况</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0"/>
        <w:gridCol w:w="1890"/>
        <w:gridCol w:w="2331"/>
        <w:gridCol w:w="1892"/>
        <w:gridCol w:w="1389"/>
      </w:tblGrid>
      <w:tr w14:paraId="41010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trPr>
        <w:tc>
          <w:tcPr>
            <w:tcW w:w="594" w:type="pct"/>
            <w:shd w:val="clear" w:color="auto" w:fill="00516B"/>
            <w:noWrap/>
            <w:vAlign w:val="center"/>
          </w:tcPr>
          <w:p w14:paraId="410B407D">
            <w:pPr>
              <w:spacing w:line="240" w:lineRule="auto"/>
              <w:ind w:firstLine="0" w:firstLineChars="0"/>
              <w:jc w:val="center"/>
              <w:rPr>
                <w:rFonts w:eastAsia="宋体" w:cs="Times New Roman"/>
                <w:b/>
                <w:bCs/>
                <w:color w:val="FFFFFF" w:themeColor="background1"/>
                <w:sz w:val="20"/>
                <w:szCs w:val="20"/>
              </w:rPr>
            </w:pPr>
            <w:r>
              <w:rPr>
                <w:rFonts w:eastAsia="宋体" w:cs="Times New Roman"/>
                <w:b/>
                <w:bCs/>
                <w:color w:val="FFFFFF" w:themeColor="background1"/>
                <w:sz w:val="20"/>
                <w:szCs w:val="20"/>
              </w:rPr>
              <w:t>支出类别</w:t>
            </w:r>
          </w:p>
        </w:tc>
        <w:tc>
          <w:tcPr>
            <w:tcW w:w="1109" w:type="pct"/>
            <w:shd w:val="clear" w:color="auto" w:fill="00516B"/>
            <w:vAlign w:val="center"/>
          </w:tcPr>
          <w:p w14:paraId="67B5BF98">
            <w:pPr>
              <w:spacing w:line="240" w:lineRule="auto"/>
              <w:ind w:firstLine="0" w:firstLineChars="0"/>
              <w:jc w:val="center"/>
              <w:rPr>
                <w:rFonts w:eastAsia="宋体" w:cs="Times New Roman"/>
                <w:b/>
                <w:bCs/>
                <w:color w:val="FFFFFF" w:themeColor="background1"/>
                <w:sz w:val="20"/>
                <w:szCs w:val="20"/>
              </w:rPr>
            </w:pPr>
            <w:r>
              <w:rPr>
                <w:rFonts w:eastAsia="宋体" w:cs="Times New Roman"/>
                <w:b/>
                <w:bCs/>
                <w:color w:val="FFFFFF" w:themeColor="background1"/>
                <w:sz w:val="20"/>
                <w:szCs w:val="20"/>
              </w:rPr>
              <w:t>科目名称</w:t>
            </w:r>
          </w:p>
        </w:tc>
        <w:tc>
          <w:tcPr>
            <w:tcW w:w="1369" w:type="pct"/>
            <w:shd w:val="clear" w:color="auto" w:fill="00516B"/>
            <w:vAlign w:val="center"/>
          </w:tcPr>
          <w:p w14:paraId="42840F4C">
            <w:pPr>
              <w:spacing w:line="240" w:lineRule="auto"/>
              <w:ind w:firstLine="0" w:firstLineChars="0"/>
              <w:jc w:val="center"/>
              <w:rPr>
                <w:rFonts w:eastAsia="宋体" w:cs="Times New Roman"/>
                <w:b/>
                <w:bCs/>
                <w:color w:val="FFFFFF" w:themeColor="background1"/>
                <w:sz w:val="20"/>
                <w:szCs w:val="20"/>
              </w:rPr>
            </w:pPr>
            <w:r>
              <w:rPr>
                <w:rFonts w:eastAsia="宋体" w:cs="Times New Roman"/>
                <w:b/>
                <w:bCs/>
                <w:color w:val="FFFFFF" w:themeColor="background1"/>
                <w:sz w:val="20"/>
                <w:szCs w:val="20"/>
              </w:rPr>
              <w:t>调整后预算数（万元）</w:t>
            </w:r>
          </w:p>
        </w:tc>
        <w:tc>
          <w:tcPr>
            <w:tcW w:w="1111" w:type="pct"/>
            <w:shd w:val="clear" w:color="auto" w:fill="00516B"/>
            <w:vAlign w:val="center"/>
          </w:tcPr>
          <w:p w14:paraId="5F4BB1B8">
            <w:pPr>
              <w:spacing w:line="240" w:lineRule="auto"/>
              <w:ind w:firstLine="0" w:firstLineChars="0"/>
              <w:jc w:val="center"/>
              <w:rPr>
                <w:rFonts w:eastAsia="宋体" w:cs="Times New Roman"/>
                <w:b/>
                <w:bCs/>
                <w:color w:val="FFFFFF" w:themeColor="background1"/>
                <w:sz w:val="20"/>
                <w:szCs w:val="20"/>
              </w:rPr>
            </w:pPr>
            <w:r>
              <w:rPr>
                <w:rFonts w:eastAsia="宋体" w:cs="Times New Roman"/>
                <w:b/>
                <w:bCs/>
                <w:color w:val="FFFFFF" w:themeColor="background1"/>
                <w:sz w:val="20"/>
                <w:szCs w:val="20"/>
              </w:rPr>
              <w:t>实际支出（万元）</w:t>
            </w:r>
          </w:p>
        </w:tc>
        <w:tc>
          <w:tcPr>
            <w:tcW w:w="816" w:type="pct"/>
            <w:shd w:val="clear" w:color="auto" w:fill="00516B"/>
            <w:vAlign w:val="center"/>
          </w:tcPr>
          <w:p w14:paraId="75EDDB3F">
            <w:pPr>
              <w:spacing w:line="240" w:lineRule="auto"/>
              <w:ind w:firstLine="0" w:firstLineChars="0"/>
              <w:jc w:val="center"/>
              <w:rPr>
                <w:rFonts w:eastAsia="宋体" w:cs="Times New Roman"/>
                <w:b/>
                <w:bCs/>
                <w:color w:val="FFFFFF" w:themeColor="background1"/>
                <w:sz w:val="20"/>
                <w:szCs w:val="20"/>
              </w:rPr>
            </w:pPr>
            <w:r>
              <w:rPr>
                <w:rFonts w:eastAsia="宋体" w:cs="Times New Roman"/>
                <w:b/>
                <w:bCs/>
                <w:color w:val="FFFFFF" w:themeColor="background1"/>
                <w:sz w:val="20"/>
                <w:szCs w:val="20"/>
              </w:rPr>
              <w:t>执行率</w:t>
            </w:r>
          </w:p>
        </w:tc>
      </w:tr>
      <w:tr w14:paraId="2D788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594" w:type="pct"/>
            <w:vMerge w:val="restart"/>
            <w:shd w:val="clear" w:color="auto" w:fill="auto"/>
            <w:noWrap/>
            <w:vAlign w:val="center"/>
          </w:tcPr>
          <w:p w14:paraId="5F5BD971">
            <w:pPr>
              <w:spacing w:line="240" w:lineRule="auto"/>
              <w:ind w:firstLine="0" w:firstLineChars="0"/>
              <w:jc w:val="center"/>
              <w:rPr>
                <w:rFonts w:eastAsia="宋体" w:cs="Times New Roman"/>
                <w:b/>
                <w:bCs/>
                <w:sz w:val="20"/>
                <w:szCs w:val="20"/>
              </w:rPr>
            </w:pPr>
            <w:r>
              <w:rPr>
                <w:rFonts w:eastAsia="宋体" w:cs="Times New Roman"/>
                <w:b/>
                <w:bCs/>
                <w:sz w:val="20"/>
                <w:szCs w:val="20"/>
              </w:rPr>
              <w:t>项目支出</w:t>
            </w:r>
          </w:p>
        </w:tc>
        <w:tc>
          <w:tcPr>
            <w:tcW w:w="1109" w:type="pct"/>
            <w:shd w:val="clear" w:color="000000" w:fill="FFFFFF"/>
            <w:vAlign w:val="center"/>
          </w:tcPr>
          <w:p w14:paraId="61B1AE99">
            <w:pPr>
              <w:spacing w:line="240" w:lineRule="auto"/>
              <w:ind w:firstLine="0" w:firstLineChars="0"/>
              <w:jc w:val="center"/>
              <w:rPr>
                <w:rFonts w:eastAsia="宋体" w:cs="Times New Roman"/>
                <w:sz w:val="20"/>
                <w:szCs w:val="20"/>
              </w:rPr>
            </w:pPr>
            <w:r>
              <w:rPr>
                <w:rFonts w:eastAsia="宋体" w:cs="Times New Roman"/>
                <w:sz w:val="20"/>
                <w:szCs w:val="20"/>
              </w:rPr>
              <w:t>文化旅游体育与传媒支出</w:t>
            </w:r>
          </w:p>
        </w:tc>
        <w:tc>
          <w:tcPr>
            <w:tcW w:w="1369" w:type="pct"/>
            <w:shd w:val="clear" w:color="000000" w:fill="FFFFFF"/>
            <w:vAlign w:val="center"/>
          </w:tcPr>
          <w:p w14:paraId="788408A8">
            <w:pPr>
              <w:spacing w:line="240" w:lineRule="auto"/>
              <w:ind w:firstLine="0" w:firstLineChars="0"/>
              <w:jc w:val="center"/>
              <w:rPr>
                <w:rFonts w:eastAsia="宋体" w:cs="Times New Roman"/>
                <w:sz w:val="20"/>
                <w:szCs w:val="20"/>
              </w:rPr>
            </w:pPr>
            <w:r>
              <w:rPr>
                <w:rFonts w:eastAsia="宋体" w:cs="Times New Roman"/>
                <w:sz w:val="20"/>
                <w:szCs w:val="20"/>
              </w:rPr>
              <w:t>3000.00</w:t>
            </w:r>
          </w:p>
        </w:tc>
        <w:tc>
          <w:tcPr>
            <w:tcW w:w="1111" w:type="pct"/>
            <w:shd w:val="clear" w:color="000000" w:fill="FFFFFF"/>
            <w:vAlign w:val="center"/>
          </w:tcPr>
          <w:p w14:paraId="7C4D1681">
            <w:pPr>
              <w:spacing w:line="240" w:lineRule="auto"/>
              <w:ind w:firstLine="0" w:firstLineChars="0"/>
              <w:jc w:val="center"/>
              <w:rPr>
                <w:rFonts w:eastAsia="宋体" w:cs="Times New Roman"/>
                <w:sz w:val="20"/>
                <w:szCs w:val="20"/>
              </w:rPr>
            </w:pPr>
            <w:r>
              <w:rPr>
                <w:rFonts w:eastAsia="宋体" w:cs="Times New Roman"/>
                <w:sz w:val="20"/>
                <w:szCs w:val="20"/>
              </w:rPr>
              <w:t>3000.00</w:t>
            </w:r>
          </w:p>
        </w:tc>
        <w:tc>
          <w:tcPr>
            <w:tcW w:w="816" w:type="pct"/>
            <w:shd w:val="clear" w:color="000000" w:fill="FFFFFF"/>
            <w:vAlign w:val="center"/>
          </w:tcPr>
          <w:p w14:paraId="34654E45">
            <w:pPr>
              <w:spacing w:line="240" w:lineRule="auto"/>
              <w:ind w:firstLine="0" w:firstLineChars="0"/>
              <w:jc w:val="center"/>
              <w:rPr>
                <w:rFonts w:eastAsia="宋体" w:cs="Times New Roman"/>
                <w:sz w:val="20"/>
                <w:szCs w:val="20"/>
              </w:rPr>
            </w:pPr>
            <w:r>
              <w:rPr>
                <w:rFonts w:eastAsia="宋体" w:cs="Times New Roman"/>
                <w:sz w:val="20"/>
                <w:szCs w:val="20"/>
              </w:rPr>
              <w:t>100%</w:t>
            </w:r>
          </w:p>
        </w:tc>
      </w:tr>
      <w:tr w14:paraId="638BC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94" w:type="pct"/>
            <w:vMerge w:val="continue"/>
            <w:vAlign w:val="center"/>
          </w:tcPr>
          <w:p w14:paraId="04CDB918">
            <w:pPr>
              <w:spacing w:line="240" w:lineRule="auto"/>
              <w:ind w:firstLine="0" w:firstLineChars="0"/>
              <w:jc w:val="center"/>
              <w:rPr>
                <w:rFonts w:eastAsia="宋体" w:cs="Times New Roman"/>
                <w:b/>
                <w:bCs/>
                <w:sz w:val="20"/>
                <w:szCs w:val="20"/>
              </w:rPr>
            </w:pPr>
          </w:p>
        </w:tc>
        <w:tc>
          <w:tcPr>
            <w:tcW w:w="1109" w:type="pct"/>
            <w:shd w:val="clear" w:color="000000" w:fill="FFFFFF"/>
            <w:vAlign w:val="center"/>
          </w:tcPr>
          <w:p w14:paraId="63427FD8">
            <w:pPr>
              <w:spacing w:line="240" w:lineRule="auto"/>
              <w:ind w:firstLine="0" w:firstLineChars="0"/>
              <w:jc w:val="center"/>
              <w:rPr>
                <w:rFonts w:eastAsia="宋体" w:cs="Times New Roman"/>
                <w:sz w:val="20"/>
                <w:szCs w:val="20"/>
              </w:rPr>
            </w:pPr>
            <w:r>
              <w:rPr>
                <w:rFonts w:eastAsia="宋体" w:cs="Times New Roman"/>
                <w:sz w:val="20"/>
                <w:szCs w:val="20"/>
              </w:rPr>
              <w:t>社会保障和就业支出</w:t>
            </w:r>
          </w:p>
        </w:tc>
        <w:tc>
          <w:tcPr>
            <w:tcW w:w="1369" w:type="pct"/>
            <w:shd w:val="clear" w:color="000000" w:fill="FFFFFF"/>
            <w:vAlign w:val="center"/>
          </w:tcPr>
          <w:p w14:paraId="092F6F2B">
            <w:pPr>
              <w:spacing w:line="240" w:lineRule="auto"/>
              <w:ind w:firstLine="0" w:firstLineChars="0"/>
              <w:jc w:val="center"/>
              <w:rPr>
                <w:rFonts w:eastAsia="宋体" w:cs="Times New Roman"/>
                <w:sz w:val="20"/>
                <w:szCs w:val="20"/>
              </w:rPr>
            </w:pPr>
            <w:r>
              <w:rPr>
                <w:rFonts w:eastAsia="宋体" w:cs="Times New Roman"/>
                <w:sz w:val="20"/>
                <w:szCs w:val="20"/>
              </w:rPr>
              <w:t>6000.00</w:t>
            </w:r>
          </w:p>
        </w:tc>
        <w:tc>
          <w:tcPr>
            <w:tcW w:w="1111" w:type="pct"/>
            <w:shd w:val="clear" w:color="000000" w:fill="FFFFFF"/>
            <w:vAlign w:val="center"/>
          </w:tcPr>
          <w:p w14:paraId="7BC87519">
            <w:pPr>
              <w:spacing w:line="240" w:lineRule="auto"/>
              <w:ind w:firstLine="0" w:firstLineChars="0"/>
              <w:jc w:val="center"/>
              <w:rPr>
                <w:rFonts w:eastAsia="宋体" w:cs="Times New Roman"/>
                <w:sz w:val="20"/>
                <w:szCs w:val="20"/>
              </w:rPr>
            </w:pPr>
            <w:r>
              <w:rPr>
                <w:rFonts w:eastAsia="宋体" w:cs="Times New Roman"/>
                <w:sz w:val="20"/>
                <w:szCs w:val="20"/>
              </w:rPr>
              <w:t>6000.00</w:t>
            </w:r>
          </w:p>
        </w:tc>
        <w:tc>
          <w:tcPr>
            <w:tcW w:w="816" w:type="pct"/>
            <w:shd w:val="clear" w:color="000000" w:fill="FFFFFF"/>
            <w:vAlign w:val="center"/>
          </w:tcPr>
          <w:p w14:paraId="54412DED">
            <w:pPr>
              <w:spacing w:line="240" w:lineRule="auto"/>
              <w:ind w:firstLine="0" w:firstLineChars="0"/>
              <w:jc w:val="center"/>
              <w:rPr>
                <w:rFonts w:eastAsia="宋体" w:cs="Times New Roman"/>
                <w:sz w:val="20"/>
                <w:szCs w:val="20"/>
              </w:rPr>
            </w:pPr>
            <w:r>
              <w:rPr>
                <w:rFonts w:eastAsia="宋体" w:cs="Times New Roman"/>
                <w:sz w:val="20"/>
                <w:szCs w:val="20"/>
              </w:rPr>
              <w:t>100%</w:t>
            </w:r>
          </w:p>
        </w:tc>
      </w:tr>
      <w:tr w14:paraId="5BC9F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594" w:type="pct"/>
            <w:vMerge w:val="continue"/>
            <w:vAlign w:val="center"/>
          </w:tcPr>
          <w:p w14:paraId="039F53B9">
            <w:pPr>
              <w:spacing w:line="240" w:lineRule="auto"/>
              <w:ind w:firstLine="0" w:firstLineChars="0"/>
              <w:jc w:val="center"/>
              <w:rPr>
                <w:rFonts w:eastAsia="宋体" w:cs="Times New Roman"/>
                <w:b/>
                <w:bCs/>
                <w:sz w:val="20"/>
                <w:szCs w:val="20"/>
              </w:rPr>
            </w:pPr>
          </w:p>
        </w:tc>
        <w:tc>
          <w:tcPr>
            <w:tcW w:w="1109" w:type="pct"/>
            <w:shd w:val="clear" w:color="000000" w:fill="FFFFFF"/>
            <w:vAlign w:val="center"/>
          </w:tcPr>
          <w:p w14:paraId="125B9722">
            <w:pPr>
              <w:spacing w:line="240" w:lineRule="auto"/>
              <w:ind w:firstLine="0" w:firstLineChars="0"/>
              <w:jc w:val="center"/>
              <w:rPr>
                <w:rFonts w:eastAsia="宋体" w:cs="Times New Roman"/>
                <w:sz w:val="20"/>
                <w:szCs w:val="20"/>
              </w:rPr>
            </w:pPr>
            <w:r>
              <w:rPr>
                <w:rFonts w:eastAsia="宋体" w:cs="Times New Roman"/>
                <w:sz w:val="20"/>
                <w:szCs w:val="20"/>
              </w:rPr>
              <w:t>节能环保支出</w:t>
            </w:r>
          </w:p>
        </w:tc>
        <w:tc>
          <w:tcPr>
            <w:tcW w:w="1369" w:type="pct"/>
            <w:shd w:val="clear" w:color="000000" w:fill="FFFFFF"/>
            <w:vAlign w:val="center"/>
          </w:tcPr>
          <w:p w14:paraId="5EC1AC4C">
            <w:pPr>
              <w:spacing w:line="240" w:lineRule="auto"/>
              <w:ind w:firstLine="0" w:firstLineChars="0"/>
              <w:jc w:val="center"/>
              <w:rPr>
                <w:rFonts w:eastAsia="宋体" w:cs="Times New Roman"/>
                <w:sz w:val="20"/>
                <w:szCs w:val="20"/>
              </w:rPr>
            </w:pPr>
            <w:r>
              <w:rPr>
                <w:rFonts w:eastAsia="宋体" w:cs="Times New Roman"/>
                <w:sz w:val="20"/>
                <w:szCs w:val="20"/>
              </w:rPr>
              <w:t>15.62</w:t>
            </w:r>
          </w:p>
        </w:tc>
        <w:tc>
          <w:tcPr>
            <w:tcW w:w="1111" w:type="pct"/>
            <w:shd w:val="clear" w:color="000000" w:fill="FFFFFF"/>
            <w:vAlign w:val="center"/>
          </w:tcPr>
          <w:p w14:paraId="46FBBB3F">
            <w:pPr>
              <w:spacing w:line="240" w:lineRule="auto"/>
              <w:ind w:firstLine="0" w:firstLineChars="0"/>
              <w:jc w:val="center"/>
              <w:rPr>
                <w:rFonts w:eastAsia="宋体" w:cs="Times New Roman"/>
                <w:sz w:val="20"/>
                <w:szCs w:val="20"/>
              </w:rPr>
            </w:pPr>
            <w:r>
              <w:rPr>
                <w:rFonts w:eastAsia="宋体" w:cs="Times New Roman"/>
                <w:sz w:val="20"/>
                <w:szCs w:val="20"/>
              </w:rPr>
              <w:t>15.62</w:t>
            </w:r>
          </w:p>
        </w:tc>
        <w:tc>
          <w:tcPr>
            <w:tcW w:w="816" w:type="pct"/>
            <w:shd w:val="clear" w:color="000000" w:fill="FFFFFF"/>
            <w:vAlign w:val="center"/>
          </w:tcPr>
          <w:p w14:paraId="424B3F58">
            <w:pPr>
              <w:spacing w:line="240" w:lineRule="auto"/>
              <w:ind w:firstLine="0" w:firstLineChars="0"/>
              <w:jc w:val="center"/>
              <w:rPr>
                <w:rFonts w:eastAsia="宋体" w:cs="Times New Roman"/>
                <w:sz w:val="20"/>
                <w:szCs w:val="20"/>
              </w:rPr>
            </w:pPr>
            <w:r>
              <w:rPr>
                <w:rFonts w:eastAsia="宋体" w:cs="Times New Roman"/>
                <w:sz w:val="20"/>
                <w:szCs w:val="20"/>
              </w:rPr>
              <w:t>100%</w:t>
            </w:r>
          </w:p>
        </w:tc>
      </w:tr>
      <w:tr w14:paraId="28D60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594" w:type="pct"/>
            <w:vMerge w:val="continue"/>
            <w:vAlign w:val="center"/>
          </w:tcPr>
          <w:p w14:paraId="6EEA37B6">
            <w:pPr>
              <w:spacing w:line="240" w:lineRule="auto"/>
              <w:ind w:firstLine="0" w:firstLineChars="0"/>
              <w:jc w:val="center"/>
              <w:rPr>
                <w:rFonts w:eastAsia="宋体" w:cs="Times New Roman"/>
                <w:b/>
                <w:bCs/>
                <w:sz w:val="20"/>
                <w:szCs w:val="20"/>
              </w:rPr>
            </w:pPr>
          </w:p>
        </w:tc>
        <w:tc>
          <w:tcPr>
            <w:tcW w:w="1109" w:type="pct"/>
            <w:shd w:val="clear" w:color="000000" w:fill="FFFFFF"/>
            <w:vAlign w:val="center"/>
          </w:tcPr>
          <w:p w14:paraId="2A682B71">
            <w:pPr>
              <w:spacing w:line="240" w:lineRule="auto"/>
              <w:ind w:firstLine="0" w:firstLineChars="0"/>
              <w:jc w:val="center"/>
              <w:rPr>
                <w:rFonts w:eastAsia="宋体" w:cs="Times New Roman"/>
                <w:sz w:val="20"/>
                <w:szCs w:val="20"/>
              </w:rPr>
            </w:pPr>
            <w:r>
              <w:rPr>
                <w:rFonts w:eastAsia="宋体" w:cs="Times New Roman"/>
                <w:sz w:val="20"/>
                <w:szCs w:val="20"/>
              </w:rPr>
              <w:t>城乡社区支出</w:t>
            </w:r>
          </w:p>
        </w:tc>
        <w:tc>
          <w:tcPr>
            <w:tcW w:w="1369" w:type="pct"/>
            <w:shd w:val="clear" w:color="000000" w:fill="FFFFFF"/>
            <w:vAlign w:val="center"/>
          </w:tcPr>
          <w:p w14:paraId="79575E4C">
            <w:pPr>
              <w:spacing w:line="240" w:lineRule="auto"/>
              <w:ind w:firstLine="0" w:firstLineChars="0"/>
              <w:jc w:val="center"/>
              <w:rPr>
                <w:rFonts w:eastAsia="宋体" w:cs="Times New Roman"/>
                <w:sz w:val="20"/>
                <w:szCs w:val="20"/>
              </w:rPr>
            </w:pPr>
            <w:r>
              <w:rPr>
                <w:rFonts w:eastAsia="宋体" w:cs="Times New Roman"/>
                <w:sz w:val="20"/>
                <w:szCs w:val="20"/>
              </w:rPr>
              <w:t>49746.71</w:t>
            </w:r>
          </w:p>
        </w:tc>
        <w:tc>
          <w:tcPr>
            <w:tcW w:w="1111" w:type="pct"/>
            <w:shd w:val="clear" w:color="000000" w:fill="FFFFFF"/>
            <w:vAlign w:val="center"/>
          </w:tcPr>
          <w:p w14:paraId="27C9780E">
            <w:pPr>
              <w:spacing w:line="240" w:lineRule="auto"/>
              <w:ind w:firstLine="0" w:firstLineChars="0"/>
              <w:jc w:val="center"/>
              <w:rPr>
                <w:rFonts w:eastAsia="宋体" w:cs="Times New Roman"/>
                <w:sz w:val="20"/>
                <w:szCs w:val="20"/>
              </w:rPr>
            </w:pPr>
            <w:r>
              <w:rPr>
                <w:rFonts w:eastAsia="宋体" w:cs="Times New Roman"/>
                <w:sz w:val="20"/>
                <w:szCs w:val="20"/>
              </w:rPr>
              <w:t>48746.71</w:t>
            </w:r>
          </w:p>
        </w:tc>
        <w:tc>
          <w:tcPr>
            <w:tcW w:w="816" w:type="pct"/>
            <w:shd w:val="clear" w:color="000000" w:fill="FFFFFF"/>
            <w:vAlign w:val="center"/>
          </w:tcPr>
          <w:p w14:paraId="770F8108">
            <w:pPr>
              <w:spacing w:line="240" w:lineRule="auto"/>
              <w:ind w:firstLine="0" w:firstLineChars="0"/>
              <w:jc w:val="center"/>
              <w:rPr>
                <w:rFonts w:eastAsia="宋体" w:cs="Times New Roman"/>
                <w:sz w:val="20"/>
                <w:szCs w:val="20"/>
              </w:rPr>
            </w:pPr>
            <w:r>
              <w:rPr>
                <w:rFonts w:eastAsia="宋体" w:cs="Times New Roman"/>
                <w:sz w:val="20"/>
                <w:szCs w:val="20"/>
              </w:rPr>
              <w:t>100%</w:t>
            </w:r>
          </w:p>
        </w:tc>
      </w:tr>
      <w:tr w14:paraId="324D1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94" w:type="pct"/>
            <w:vMerge w:val="continue"/>
            <w:vAlign w:val="center"/>
          </w:tcPr>
          <w:p w14:paraId="361E008A">
            <w:pPr>
              <w:spacing w:line="240" w:lineRule="auto"/>
              <w:ind w:firstLine="0" w:firstLineChars="0"/>
              <w:jc w:val="center"/>
              <w:rPr>
                <w:rFonts w:eastAsia="宋体" w:cs="Times New Roman"/>
                <w:b/>
                <w:bCs/>
                <w:sz w:val="20"/>
                <w:szCs w:val="20"/>
              </w:rPr>
            </w:pPr>
          </w:p>
        </w:tc>
        <w:tc>
          <w:tcPr>
            <w:tcW w:w="1109" w:type="pct"/>
            <w:shd w:val="clear" w:color="000000" w:fill="FFFFFF"/>
            <w:vAlign w:val="center"/>
          </w:tcPr>
          <w:p w14:paraId="38077F35">
            <w:pPr>
              <w:spacing w:line="240" w:lineRule="auto"/>
              <w:ind w:firstLine="0" w:firstLineChars="0"/>
              <w:jc w:val="center"/>
              <w:rPr>
                <w:rFonts w:eastAsia="宋体" w:cs="Times New Roman"/>
                <w:sz w:val="20"/>
                <w:szCs w:val="20"/>
              </w:rPr>
            </w:pPr>
            <w:r>
              <w:rPr>
                <w:rFonts w:eastAsia="宋体" w:cs="Times New Roman"/>
                <w:sz w:val="20"/>
                <w:szCs w:val="20"/>
              </w:rPr>
              <w:t>农业水支出</w:t>
            </w:r>
          </w:p>
        </w:tc>
        <w:tc>
          <w:tcPr>
            <w:tcW w:w="1369" w:type="pct"/>
            <w:shd w:val="clear" w:color="000000" w:fill="FFFFFF"/>
            <w:vAlign w:val="center"/>
          </w:tcPr>
          <w:p w14:paraId="12A7DC43">
            <w:pPr>
              <w:spacing w:line="240" w:lineRule="auto"/>
              <w:ind w:firstLine="0" w:firstLineChars="0"/>
              <w:jc w:val="center"/>
              <w:rPr>
                <w:rFonts w:eastAsia="宋体" w:cs="Times New Roman"/>
                <w:sz w:val="20"/>
                <w:szCs w:val="20"/>
              </w:rPr>
            </w:pPr>
            <w:r>
              <w:rPr>
                <w:rFonts w:eastAsia="宋体" w:cs="Times New Roman"/>
                <w:sz w:val="20"/>
                <w:szCs w:val="20"/>
              </w:rPr>
              <w:t>1041.64</w:t>
            </w:r>
          </w:p>
        </w:tc>
        <w:tc>
          <w:tcPr>
            <w:tcW w:w="1111" w:type="pct"/>
            <w:shd w:val="clear" w:color="000000" w:fill="FFFFFF"/>
            <w:vAlign w:val="center"/>
          </w:tcPr>
          <w:p w14:paraId="4CB9BF2B">
            <w:pPr>
              <w:spacing w:line="240" w:lineRule="auto"/>
              <w:ind w:firstLine="0" w:firstLineChars="0"/>
              <w:jc w:val="center"/>
              <w:rPr>
                <w:rFonts w:eastAsia="宋体" w:cs="Times New Roman"/>
                <w:sz w:val="20"/>
                <w:szCs w:val="20"/>
              </w:rPr>
            </w:pPr>
            <w:r>
              <w:rPr>
                <w:rFonts w:eastAsia="宋体" w:cs="Times New Roman"/>
                <w:sz w:val="20"/>
                <w:szCs w:val="20"/>
              </w:rPr>
              <w:t>1041.64</w:t>
            </w:r>
          </w:p>
        </w:tc>
        <w:tc>
          <w:tcPr>
            <w:tcW w:w="816" w:type="pct"/>
            <w:shd w:val="clear" w:color="000000" w:fill="FFFFFF"/>
            <w:vAlign w:val="center"/>
          </w:tcPr>
          <w:p w14:paraId="0CE7C3BE">
            <w:pPr>
              <w:spacing w:line="240" w:lineRule="auto"/>
              <w:ind w:firstLine="0" w:firstLineChars="0"/>
              <w:jc w:val="center"/>
              <w:rPr>
                <w:rFonts w:eastAsia="宋体" w:cs="Times New Roman"/>
                <w:sz w:val="20"/>
                <w:szCs w:val="20"/>
              </w:rPr>
            </w:pPr>
            <w:r>
              <w:rPr>
                <w:rFonts w:eastAsia="宋体" w:cs="Times New Roman"/>
                <w:sz w:val="20"/>
                <w:szCs w:val="20"/>
              </w:rPr>
              <w:t>100%</w:t>
            </w:r>
          </w:p>
        </w:tc>
      </w:tr>
      <w:tr w14:paraId="4E2BB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594" w:type="pct"/>
            <w:vMerge w:val="continue"/>
            <w:vAlign w:val="center"/>
          </w:tcPr>
          <w:p w14:paraId="51B11E78">
            <w:pPr>
              <w:spacing w:line="240" w:lineRule="auto"/>
              <w:ind w:firstLine="0" w:firstLineChars="0"/>
              <w:jc w:val="center"/>
              <w:rPr>
                <w:rFonts w:eastAsia="宋体" w:cs="Times New Roman"/>
                <w:b/>
                <w:bCs/>
                <w:sz w:val="20"/>
                <w:szCs w:val="20"/>
              </w:rPr>
            </w:pPr>
          </w:p>
        </w:tc>
        <w:tc>
          <w:tcPr>
            <w:tcW w:w="1109" w:type="pct"/>
            <w:shd w:val="clear" w:color="000000" w:fill="FFFFFF"/>
            <w:vAlign w:val="center"/>
          </w:tcPr>
          <w:p w14:paraId="12EACD7E">
            <w:pPr>
              <w:spacing w:line="240" w:lineRule="auto"/>
              <w:ind w:firstLine="0" w:firstLineChars="0"/>
              <w:jc w:val="center"/>
              <w:rPr>
                <w:rFonts w:eastAsia="宋体" w:cs="Times New Roman"/>
                <w:sz w:val="20"/>
                <w:szCs w:val="20"/>
              </w:rPr>
            </w:pPr>
            <w:r>
              <w:rPr>
                <w:rFonts w:eastAsia="宋体" w:cs="Times New Roman"/>
                <w:sz w:val="20"/>
                <w:szCs w:val="20"/>
              </w:rPr>
              <w:t>自然资源海洋气象等支出</w:t>
            </w:r>
          </w:p>
        </w:tc>
        <w:tc>
          <w:tcPr>
            <w:tcW w:w="1369" w:type="pct"/>
            <w:shd w:val="clear" w:color="000000" w:fill="FFFFFF"/>
            <w:vAlign w:val="center"/>
          </w:tcPr>
          <w:p w14:paraId="54DA23D4">
            <w:pPr>
              <w:spacing w:line="240" w:lineRule="auto"/>
              <w:ind w:firstLine="0" w:firstLineChars="0"/>
              <w:jc w:val="center"/>
              <w:rPr>
                <w:rFonts w:eastAsia="宋体" w:cs="Times New Roman"/>
                <w:sz w:val="20"/>
                <w:szCs w:val="20"/>
              </w:rPr>
            </w:pPr>
            <w:r>
              <w:rPr>
                <w:rFonts w:eastAsia="宋体" w:cs="Times New Roman"/>
                <w:sz w:val="20"/>
                <w:szCs w:val="20"/>
              </w:rPr>
              <w:t>2043.03</w:t>
            </w:r>
          </w:p>
        </w:tc>
        <w:tc>
          <w:tcPr>
            <w:tcW w:w="1111" w:type="pct"/>
            <w:shd w:val="clear" w:color="000000" w:fill="FFFFFF"/>
            <w:vAlign w:val="center"/>
          </w:tcPr>
          <w:p w14:paraId="4F9D59AD">
            <w:pPr>
              <w:spacing w:line="240" w:lineRule="auto"/>
              <w:ind w:firstLine="0" w:firstLineChars="0"/>
              <w:jc w:val="center"/>
              <w:rPr>
                <w:rFonts w:eastAsia="宋体" w:cs="Times New Roman"/>
                <w:sz w:val="20"/>
                <w:szCs w:val="20"/>
              </w:rPr>
            </w:pPr>
            <w:r>
              <w:rPr>
                <w:rFonts w:eastAsia="宋体" w:cs="Times New Roman"/>
                <w:sz w:val="20"/>
                <w:szCs w:val="20"/>
              </w:rPr>
              <w:t>2043.03</w:t>
            </w:r>
          </w:p>
        </w:tc>
        <w:tc>
          <w:tcPr>
            <w:tcW w:w="816" w:type="pct"/>
            <w:shd w:val="clear" w:color="000000" w:fill="FFFFFF"/>
            <w:vAlign w:val="center"/>
          </w:tcPr>
          <w:p w14:paraId="62861DA2">
            <w:pPr>
              <w:spacing w:line="240" w:lineRule="auto"/>
              <w:ind w:firstLine="0" w:firstLineChars="0"/>
              <w:jc w:val="center"/>
              <w:rPr>
                <w:rFonts w:eastAsia="宋体" w:cs="Times New Roman"/>
                <w:sz w:val="20"/>
                <w:szCs w:val="20"/>
              </w:rPr>
            </w:pPr>
            <w:r>
              <w:rPr>
                <w:rFonts w:eastAsia="宋体" w:cs="Times New Roman"/>
                <w:sz w:val="20"/>
                <w:szCs w:val="20"/>
              </w:rPr>
              <w:t>100%</w:t>
            </w:r>
          </w:p>
        </w:tc>
      </w:tr>
      <w:tr w14:paraId="6DF53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594" w:type="pct"/>
            <w:vMerge w:val="continue"/>
            <w:vAlign w:val="center"/>
          </w:tcPr>
          <w:p w14:paraId="7F07FB37">
            <w:pPr>
              <w:spacing w:line="240" w:lineRule="auto"/>
              <w:ind w:firstLine="0" w:firstLineChars="0"/>
              <w:jc w:val="center"/>
              <w:rPr>
                <w:rFonts w:eastAsia="宋体" w:cs="Times New Roman"/>
                <w:b/>
                <w:bCs/>
                <w:sz w:val="20"/>
                <w:szCs w:val="20"/>
              </w:rPr>
            </w:pPr>
          </w:p>
        </w:tc>
        <w:tc>
          <w:tcPr>
            <w:tcW w:w="1109" w:type="pct"/>
            <w:shd w:val="clear" w:color="000000" w:fill="FFFFFF"/>
            <w:vAlign w:val="center"/>
          </w:tcPr>
          <w:p w14:paraId="703D6B4F">
            <w:pPr>
              <w:spacing w:line="240" w:lineRule="auto"/>
              <w:ind w:firstLine="0" w:firstLineChars="0"/>
              <w:jc w:val="center"/>
              <w:rPr>
                <w:rFonts w:eastAsia="宋体" w:cs="Times New Roman"/>
                <w:sz w:val="20"/>
                <w:szCs w:val="20"/>
              </w:rPr>
            </w:pPr>
            <w:r>
              <w:rPr>
                <w:rFonts w:eastAsia="宋体" w:cs="Times New Roman"/>
                <w:sz w:val="20"/>
                <w:szCs w:val="20"/>
              </w:rPr>
              <w:t>灾害防治及应急管理支出</w:t>
            </w:r>
          </w:p>
        </w:tc>
        <w:tc>
          <w:tcPr>
            <w:tcW w:w="1369" w:type="pct"/>
            <w:shd w:val="clear" w:color="000000" w:fill="FFFFFF"/>
            <w:vAlign w:val="center"/>
          </w:tcPr>
          <w:p w14:paraId="7F4A9920">
            <w:pPr>
              <w:spacing w:line="240" w:lineRule="auto"/>
              <w:ind w:firstLine="0" w:firstLineChars="0"/>
              <w:jc w:val="center"/>
              <w:rPr>
                <w:rFonts w:eastAsia="宋体" w:cs="Times New Roman"/>
                <w:sz w:val="20"/>
                <w:szCs w:val="20"/>
              </w:rPr>
            </w:pPr>
            <w:r>
              <w:rPr>
                <w:rFonts w:eastAsia="宋体" w:cs="Times New Roman"/>
                <w:sz w:val="20"/>
                <w:szCs w:val="20"/>
              </w:rPr>
              <w:t>617.34</w:t>
            </w:r>
          </w:p>
        </w:tc>
        <w:tc>
          <w:tcPr>
            <w:tcW w:w="1111" w:type="pct"/>
            <w:shd w:val="clear" w:color="000000" w:fill="FFFFFF"/>
            <w:vAlign w:val="center"/>
          </w:tcPr>
          <w:p w14:paraId="6BE16253">
            <w:pPr>
              <w:spacing w:line="240" w:lineRule="auto"/>
              <w:ind w:firstLine="0" w:firstLineChars="0"/>
              <w:jc w:val="center"/>
              <w:rPr>
                <w:rFonts w:eastAsia="宋体" w:cs="Times New Roman"/>
                <w:sz w:val="20"/>
                <w:szCs w:val="20"/>
              </w:rPr>
            </w:pPr>
            <w:r>
              <w:rPr>
                <w:rFonts w:eastAsia="宋体" w:cs="Times New Roman"/>
                <w:sz w:val="20"/>
                <w:szCs w:val="20"/>
              </w:rPr>
              <w:t>617.34</w:t>
            </w:r>
          </w:p>
        </w:tc>
        <w:tc>
          <w:tcPr>
            <w:tcW w:w="816" w:type="pct"/>
            <w:shd w:val="clear" w:color="000000" w:fill="FFFFFF"/>
            <w:vAlign w:val="center"/>
          </w:tcPr>
          <w:p w14:paraId="4085F42D">
            <w:pPr>
              <w:spacing w:line="240" w:lineRule="auto"/>
              <w:ind w:firstLine="0" w:firstLineChars="0"/>
              <w:jc w:val="center"/>
              <w:rPr>
                <w:rFonts w:eastAsia="宋体" w:cs="Times New Roman"/>
                <w:sz w:val="20"/>
                <w:szCs w:val="20"/>
              </w:rPr>
            </w:pPr>
            <w:r>
              <w:rPr>
                <w:rFonts w:eastAsia="宋体" w:cs="Times New Roman"/>
                <w:sz w:val="20"/>
                <w:szCs w:val="20"/>
              </w:rPr>
              <w:t>100%</w:t>
            </w:r>
          </w:p>
        </w:tc>
      </w:tr>
      <w:tr w14:paraId="33E21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704" w:type="pct"/>
            <w:gridSpan w:val="2"/>
            <w:vAlign w:val="center"/>
          </w:tcPr>
          <w:p w14:paraId="74354D8E">
            <w:pPr>
              <w:spacing w:line="240" w:lineRule="auto"/>
              <w:ind w:firstLine="0" w:firstLineChars="0"/>
              <w:jc w:val="center"/>
              <w:rPr>
                <w:rFonts w:eastAsia="宋体" w:cs="Times New Roman"/>
                <w:b/>
                <w:bCs/>
                <w:sz w:val="20"/>
                <w:szCs w:val="20"/>
              </w:rPr>
            </w:pPr>
            <w:r>
              <w:rPr>
                <w:rFonts w:eastAsia="宋体" w:cs="Times New Roman"/>
                <w:b/>
                <w:bCs/>
                <w:sz w:val="20"/>
                <w:szCs w:val="20"/>
              </w:rPr>
              <w:t>合计</w:t>
            </w:r>
          </w:p>
        </w:tc>
        <w:tc>
          <w:tcPr>
            <w:tcW w:w="1369" w:type="pct"/>
            <w:shd w:val="clear" w:color="000000" w:fill="FFFFFF"/>
            <w:vAlign w:val="center"/>
          </w:tcPr>
          <w:p w14:paraId="3BED3566">
            <w:pPr>
              <w:spacing w:line="240" w:lineRule="auto"/>
              <w:ind w:firstLine="0" w:firstLineChars="0"/>
              <w:jc w:val="center"/>
              <w:rPr>
                <w:rFonts w:eastAsia="宋体" w:cs="Times New Roman"/>
                <w:b/>
                <w:bCs/>
                <w:sz w:val="20"/>
                <w:szCs w:val="20"/>
              </w:rPr>
            </w:pPr>
            <w:r>
              <w:rPr>
                <w:rFonts w:eastAsia="宋体" w:cs="Times New Roman"/>
                <w:b/>
                <w:bCs/>
                <w:sz w:val="20"/>
                <w:szCs w:val="20"/>
              </w:rPr>
              <w:t>62464.35</w:t>
            </w:r>
          </w:p>
        </w:tc>
        <w:tc>
          <w:tcPr>
            <w:tcW w:w="1111" w:type="pct"/>
            <w:shd w:val="clear" w:color="000000" w:fill="FFFFFF"/>
            <w:vAlign w:val="center"/>
          </w:tcPr>
          <w:p w14:paraId="16266ACA">
            <w:pPr>
              <w:spacing w:line="240" w:lineRule="auto"/>
              <w:ind w:firstLine="0" w:firstLineChars="0"/>
              <w:jc w:val="center"/>
              <w:rPr>
                <w:rFonts w:eastAsia="宋体" w:cs="Times New Roman"/>
                <w:b/>
                <w:bCs/>
                <w:sz w:val="20"/>
                <w:szCs w:val="20"/>
              </w:rPr>
            </w:pPr>
            <w:r>
              <w:rPr>
                <w:rFonts w:eastAsia="宋体" w:cs="Times New Roman"/>
                <w:b/>
                <w:bCs/>
                <w:sz w:val="20"/>
                <w:szCs w:val="20"/>
              </w:rPr>
              <w:t>62464.35</w:t>
            </w:r>
          </w:p>
        </w:tc>
        <w:tc>
          <w:tcPr>
            <w:tcW w:w="816" w:type="pct"/>
            <w:shd w:val="clear" w:color="000000" w:fill="FFFFFF"/>
            <w:vAlign w:val="center"/>
          </w:tcPr>
          <w:p w14:paraId="5ADB8DF7">
            <w:pPr>
              <w:spacing w:line="240" w:lineRule="auto"/>
              <w:ind w:firstLine="0" w:firstLineChars="0"/>
              <w:jc w:val="center"/>
              <w:rPr>
                <w:rFonts w:eastAsia="宋体" w:cs="Times New Roman"/>
                <w:b/>
                <w:bCs/>
                <w:sz w:val="20"/>
                <w:szCs w:val="20"/>
              </w:rPr>
            </w:pPr>
            <w:r>
              <w:rPr>
                <w:rFonts w:eastAsia="宋体" w:cs="Times New Roman"/>
                <w:b/>
                <w:bCs/>
                <w:sz w:val="20"/>
                <w:szCs w:val="20"/>
              </w:rPr>
              <w:t>100%</w:t>
            </w:r>
          </w:p>
        </w:tc>
      </w:tr>
    </w:tbl>
    <w:p w14:paraId="70CA659A">
      <w:pPr>
        <w:pStyle w:val="2"/>
        <w:spacing w:line="600" w:lineRule="exact"/>
        <w:ind w:firstLine="640" w:firstLineChars="200"/>
        <w:jc w:val="both"/>
        <w:rPr>
          <w:rFonts w:cs="Times New Roman"/>
          <w:b w:val="0"/>
          <w:bCs w:val="0"/>
          <w:sz w:val="32"/>
          <w:szCs w:val="32"/>
        </w:rPr>
      </w:pPr>
      <w:bookmarkStart w:id="22" w:name="_Toc77784244"/>
      <w:r>
        <w:rPr>
          <w:rFonts w:hint="eastAsia" w:cs="Times New Roman"/>
          <w:b w:val="0"/>
          <w:bCs w:val="0"/>
          <w:sz w:val="32"/>
          <w:szCs w:val="32"/>
        </w:rPr>
        <w:t>三、部门管理情况</w:t>
      </w:r>
      <w:bookmarkEnd w:id="22"/>
    </w:p>
    <w:p w14:paraId="1FA8A767">
      <w:pPr>
        <w:ind w:firstLine="640"/>
        <w:rPr>
          <w:rFonts w:eastAsia="仿宋_GB2312" w:cs="Times New Roman"/>
          <w:sz w:val="32"/>
          <w:szCs w:val="24"/>
        </w:rPr>
      </w:pPr>
      <w:r>
        <w:rPr>
          <w:rFonts w:hint="eastAsia" w:eastAsia="仿宋_GB2312" w:cs="Times New Roman"/>
          <w:sz w:val="32"/>
          <w:szCs w:val="24"/>
        </w:rPr>
        <w:t>在部门管理指标上，设定管理制度、财务管理、“三公”经费控制、资产管理、政府购买服务、信息公开6个方面。总体而言，部门管理情况较好。其中，“三公”经费控制较好，固定资产在用率较高，资金使用相对合规，但管理制度健全性、采购规范性有待提高。该部分指标分值为10.</w:t>
      </w:r>
      <w:r>
        <w:rPr>
          <w:rFonts w:eastAsia="仿宋_GB2312" w:cs="Times New Roman"/>
          <w:sz w:val="32"/>
          <w:szCs w:val="24"/>
        </w:rPr>
        <w:t>00</w:t>
      </w:r>
      <w:r>
        <w:rPr>
          <w:rFonts w:hint="eastAsia" w:eastAsia="仿宋_GB2312" w:cs="Times New Roman"/>
          <w:sz w:val="32"/>
          <w:szCs w:val="24"/>
        </w:rPr>
        <w:t>分，得分为7.</w:t>
      </w:r>
      <w:r>
        <w:rPr>
          <w:rFonts w:eastAsia="仿宋_GB2312" w:cs="Times New Roman"/>
          <w:sz w:val="32"/>
          <w:szCs w:val="24"/>
        </w:rPr>
        <w:t>7</w:t>
      </w:r>
      <w:r>
        <w:rPr>
          <w:rFonts w:hint="eastAsia" w:eastAsia="仿宋_GB2312" w:cs="Times New Roman"/>
          <w:sz w:val="32"/>
          <w:szCs w:val="24"/>
        </w:rPr>
        <w:t>5分，得分率为7</w:t>
      </w:r>
      <w:r>
        <w:rPr>
          <w:rFonts w:eastAsia="仿宋_GB2312" w:cs="Times New Roman"/>
          <w:sz w:val="32"/>
          <w:szCs w:val="24"/>
        </w:rPr>
        <w:t>7.</w:t>
      </w:r>
      <w:r>
        <w:rPr>
          <w:rFonts w:hint="eastAsia" w:eastAsia="仿宋_GB2312" w:cs="Times New Roman"/>
          <w:sz w:val="32"/>
          <w:szCs w:val="24"/>
        </w:rPr>
        <w:t>5</w:t>
      </w:r>
      <w:r>
        <w:rPr>
          <w:rFonts w:eastAsia="仿宋_GB2312" w:cs="Times New Roman"/>
          <w:sz w:val="32"/>
          <w:szCs w:val="24"/>
        </w:rPr>
        <w:t>0</w:t>
      </w:r>
      <w:r>
        <w:rPr>
          <w:rFonts w:hint="eastAsia" w:eastAsia="仿宋_GB2312" w:cs="Times New Roman"/>
          <w:sz w:val="32"/>
          <w:szCs w:val="24"/>
        </w:rPr>
        <w:t>%。</w:t>
      </w:r>
    </w:p>
    <w:p w14:paraId="242AE7F9">
      <w:pPr>
        <w:ind w:firstLine="562"/>
        <w:jc w:val="center"/>
        <w:rPr>
          <w:rFonts w:ascii="幼圆" w:eastAsia="幼圆"/>
          <w:b/>
          <w:bCs/>
          <w:szCs w:val="28"/>
        </w:rPr>
      </w:pPr>
      <w:r>
        <w:rPr>
          <w:rFonts w:hint="eastAsia" w:ascii="幼圆" w:eastAsia="幼圆"/>
          <w:b/>
          <w:bCs/>
          <w:szCs w:val="28"/>
        </w:rPr>
        <w:t>附表 部门管理指标得分情况</w:t>
      </w:r>
    </w:p>
    <w:tbl>
      <w:tblPr>
        <w:tblStyle w:val="22"/>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07"/>
        <w:gridCol w:w="1600"/>
        <w:gridCol w:w="2621"/>
        <w:gridCol w:w="728"/>
        <w:gridCol w:w="1019"/>
        <w:gridCol w:w="1247"/>
      </w:tblGrid>
      <w:tr w14:paraId="2FCBCD6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0" w:hRule="atLeast"/>
          <w:tblHeader/>
        </w:trPr>
        <w:tc>
          <w:tcPr>
            <w:tcW w:w="767" w:type="pct"/>
            <w:tcBorders>
              <w:left w:val="single" w:color="auto" w:sz="4" w:space="0"/>
            </w:tcBorders>
            <w:shd w:val="clear" w:color="000000" w:fill="00516B"/>
          </w:tcPr>
          <w:p w14:paraId="1D11EEDC">
            <w:pPr>
              <w:widowControl/>
              <w:spacing w:line="240" w:lineRule="auto"/>
              <w:ind w:firstLine="0" w:firstLineChars="0"/>
              <w:jc w:val="center"/>
              <w:rPr>
                <w:rFonts w:eastAsia="宋体" w:cs="Times New Roman"/>
                <w:b/>
                <w:bCs/>
                <w:color w:val="FFFFFF"/>
                <w:sz w:val="20"/>
                <w:szCs w:val="20"/>
              </w:rPr>
            </w:pPr>
            <w:r>
              <w:rPr>
                <w:rFonts w:eastAsia="宋体" w:cs="Times New Roman"/>
                <w:b/>
                <w:bCs/>
                <w:color w:val="FFFFFF"/>
                <w:sz w:val="20"/>
                <w:szCs w:val="20"/>
              </w:rPr>
              <w:t>一级指标</w:t>
            </w:r>
          </w:p>
        </w:tc>
        <w:tc>
          <w:tcPr>
            <w:tcW w:w="939" w:type="pct"/>
            <w:tcBorders>
              <w:left w:val="single" w:color="auto" w:sz="4" w:space="0"/>
            </w:tcBorders>
            <w:shd w:val="clear" w:color="000000" w:fill="00516B"/>
            <w:vAlign w:val="center"/>
          </w:tcPr>
          <w:p w14:paraId="540538A0">
            <w:pPr>
              <w:widowControl/>
              <w:spacing w:line="240" w:lineRule="auto"/>
              <w:ind w:firstLine="0" w:firstLineChars="0"/>
              <w:jc w:val="center"/>
              <w:rPr>
                <w:rFonts w:eastAsia="宋体" w:cs="Times New Roman"/>
                <w:b/>
                <w:bCs/>
                <w:color w:val="FFFFFF"/>
                <w:sz w:val="20"/>
                <w:szCs w:val="20"/>
              </w:rPr>
            </w:pPr>
            <w:r>
              <w:rPr>
                <w:rFonts w:eastAsia="宋体" w:cs="Times New Roman"/>
                <w:b/>
                <w:bCs/>
                <w:color w:val="FFFFFF"/>
                <w:sz w:val="20"/>
                <w:szCs w:val="20"/>
              </w:rPr>
              <w:t>二级指标</w:t>
            </w:r>
          </w:p>
        </w:tc>
        <w:tc>
          <w:tcPr>
            <w:tcW w:w="1538" w:type="pct"/>
            <w:shd w:val="clear" w:color="000000" w:fill="00516B"/>
            <w:vAlign w:val="center"/>
          </w:tcPr>
          <w:p w14:paraId="675A2FA2">
            <w:pPr>
              <w:widowControl/>
              <w:spacing w:line="240" w:lineRule="auto"/>
              <w:ind w:firstLine="0" w:firstLineChars="0"/>
              <w:jc w:val="center"/>
              <w:rPr>
                <w:rFonts w:eastAsia="宋体" w:cs="Times New Roman"/>
                <w:b/>
                <w:bCs/>
                <w:color w:val="FFFFFF"/>
                <w:sz w:val="20"/>
                <w:szCs w:val="20"/>
              </w:rPr>
            </w:pPr>
            <w:r>
              <w:rPr>
                <w:rFonts w:eastAsia="宋体" w:cs="Times New Roman"/>
                <w:b/>
                <w:bCs/>
                <w:color w:val="FFFFFF"/>
                <w:sz w:val="20"/>
                <w:szCs w:val="20"/>
              </w:rPr>
              <w:t>三级指标</w:t>
            </w:r>
          </w:p>
        </w:tc>
        <w:tc>
          <w:tcPr>
            <w:tcW w:w="427" w:type="pct"/>
            <w:shd w:val="clear" w:color="000000" w:fill="00516B"/>
            <w:vAlign w:val="center"/>
          </w:tcPr>
          <w:p w14:paraId="09E24E12">
            <w:pPr>
              <w:widowControl/>
              <w:spacing w:line="240" w:lineRule="auto"/>
              <w:ind w:firstLine="0" w:firstLineChars="0"/>
              <w:jc w:val="center"/>
              <w:rPr>
                <w:rFonts w:eastAsia="宋体" w:cs="Times New Roman"/>
                <w:b/>
                <w:bCs/>
                <w:color w:val="FFFFFF"/>
                <w:sz w:val="20"/>
                <w:szCs w:val="20"/>
              </w:rPr>
            </w:pPr>
            <w:r>
              <w:rPr>
                <w:rFonts w:eastAsia="宋体" w:cs="Times New Roman"/>
                <w:b/>
                <w:bCs/>
                <w:color w:val="FFFFFF"/>
                <w:sz w:val="20"/>
                <w:szCs w:val="20"/>
              </w:rPr>
              <w:t>权重</w:t>
            </w:r>
          </w:p>
        </w:tc>
        <w:tc>
          <w:tcPr>
            <w:tcW w:w="598" w:type="pct"/>
            <w:shd w:val="clear" w:color="000000" w:fill="00516B"/>
            <w:vAlign w:val="center"/>
          </w:tcPr>
          <w:p w14:paraId="49D9B173">
            <w:pPr>
              <w:widowControl/>
              <w:spacing w:line="240" w:lineRule="auto"/>
              <w:ind w:firstLine="0" w:firstLineChars="0"/>
              <w:jc w:val="center"/>
              <w:rPr>
                <w:rFonts w:eastAsia="宋体" w:cs="Times New Roman"/>
                <w:b/>
                <w:bCs/>
                <w:color w:val="FFFFFF"/>
                <w:sz w:val="20"/>
                <w:szCs w:val="20"/>
              </w:rPr>
            </w:pPr>
            <w:r>
              <w:rPr>
                <w:rFonts w:eastAsia="宋体" w:cs="Times New Roman"/>
                <w:b/>
                <w:bCs/>
                <w:color w:val="FFFFFF"/>
                <w:sz w:val="20"/>
                <w:szCs w:val="20"/>
              </w:rPr>
              <w:t>得分</w:t>
            </w:r>
          </w:p>
        </w:tc>
        <w:tc>
          <w:tcPr>
            <w:tcW w:w="731" w:type="pct"/>
            <w:tcBorders>
              <w:right w:val="single" w:color="auto" w:sz="4" w:space="0"/>
            </w:tcBorders>
            <w:shd w:val="clear" w:color="000000" w:fill="00516B"/>
            <w:vAlign w:val="center"/>
          </w:tcPr>
          <w:p w14:paraId="3F79695C">
            <w:pPr>
              <w:widowControl/>
              <w:spacing w:line="240" w:lineRule="auto"/>
              <w:ind w:firstLine="0" w:firstLineChars="0"/>
              <w:jc w:val="center"/>
              <w:rPr>
                <w:rFonts w:eastAsia="宋体" w:cs="Times New Roman"/>
                <w:b/>
                <w:bCs/>
                <w:color w:val="FFFFFF"/>
                <w:sz w:val="20"/>
                <w:szCs w:val="20"/>
              </w:rPr>
            </w:pPr>
            <w:r>
              <w:rPr>
                <w:rFonts w:eastAsia="宋体" w:cs="Times New Roman"/>
                <w:b/>
                <w:bCs/>
                <w:color w:val="FFFFFF"/>
                <w:sz w:val="20"/>
                <w:szCs w:val="20"/>
              </w:rPr>
              <w:t>得分率</w:t>
            </w:r>
          </w:p>
        </w:tc>
      </w:tr>
      <w:tr w14:paraId="402DE39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67" w:type="pct"/>
            <w:vMerge w:val="restart"/>
            <w:tcBorders>
              <w:left w:val="single" w:color="auto" w:sz="4" w:space="0"/>
            </w:tcBorders>
            <w:vAlign w:val="center"/>
          </w:tcPr>
          <w:p w14:paraId="3894DB17">
            <w:pPr>
              <w:ind w:firstLine="0" w:firstLineChars="0"/>
              <w:jc w:val="center"/>
              <w:rPr>
                <w:rFonts w:eastAsia="宋体" w:cs="Times New Roman"/>
                <w:sz w:val="20"/>
                <w:szCs w:val="20"/>
              </w:rPr>
            </w:pPr>
            <w:r>
              <w:rPr>
                <w:rFonts w:eastAsia="宋体" w:cs="Times New Roman"/>
                <w:sz w:val="20"/>
                <w:szCs w:val="20"/>
              </w:rPr>
              <w:t>部门管理</w:t>
            </w:r>
          </w:p>
        </w:tc>
        <w:tc>
          <w:tcPr>
            <w:tcW w:w="939" w:type="pct"/>
            <w:vMerge w:val="restart"/>
            <w:tcBorders>
              <w:left w:val="single" w:color="auto" w:sz="4" w:space="0"/>
            </w:tcBorders>
            <w:shd w:val="clear" w:color="auto" w:fill="auto"/>
            <w:vAlign w:val="center"/>
          </w:tcPr>
          <w:p w14:paraId="41A5CAEF">
            <w:pPr>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基础管理</w:t>
            </w:r>
          </w:p>
        </w:tc>
        <w:tc>
          <w:tcPr>
            <w:tcW w:w="1538" w:type="pct"/>
            <w:shd w:val="clear" w:color="auto" w:fill="auto"/>
            <w:vAlign w:val="center"/>
          </w:tcPr>
          <w:p w14:paraId="10671AE7">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管理制度健全</w:t>
            </w:r>
          </w:p>
        </w:tc>
        <w:tc>
          <w:tcPr>
            <w:tcW w:w="427" w:type="pct"/>
            <w:shd w:val="clear" w:color="auto" w:fill="auto"/>
          </w:tcPr>
          <w:p w14:paraId="5E7FCEDB">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1.00</w:t>
            </w:r>
          </w:p>
        </w:tc>
        <w:tc>
          <w:tcPr>
            <w:tcW w:w="598" w:type="pct"/>
            <w:shd w:val="clear" w:color="auto" w:fill="auto"/>
            <w:noWrap/>
          </w:tcPr>
          <w:p w14:paraId="682F9793">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0.25</w:t>
            </w:r>
          </w:p>
        </w:tc>
        <w:tc>
          <w:tcPr>
            <w:tcW w:w="731" w:type="pct"/>
            <w:tcBorders>
              <w:right w:val="single" w:color="auto" w:sz="4" w:space="0"/>
            </w:tcBorders>
            <w:shd w:val="clear" w:color="auto" w:fill="auto"/>
            <w:noWrap/>
          </w:tcPr>
          <w:p w14:paraId="04D6D173">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25%</w:t>
            </w:r>
          </w:p>
        </w:tc>
      </w:tr>
      <w:tr w14:paraId="0A2B803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67" w:type="pct"/>
            <w:vMerge w:val="continue"/>
            <w:tcBorders>
              <w:left w:val="single" w:color="auto" w:sz="4" w:space="0"/>
            </w:tcBorders>
          </w:tcPr>
          <w:p w14:paraId="3B812E9D">
            <w:pPr>
              <w:widowControl/>
              <w:spacing w:line="240" w:lineRule="auto"/>
              <w:ind w:firstLine="0" w:firstLineChars="0"/>
              <w:rPr>
                <w:rFonts w:eastAsia="宋体" w:cs="Times New Roman"/>
                <w:color w:val="000000"/>
                <w:sz w:val="20"/>
                <w:szCs w:val="20"/>
              </w:rPr>
            </w:pPr>
          </w:p>
        </w:tc>
        <w:tc>
          <w:tcPr>
            <w:tcW w:w="939" w:type="pct"/>
            <w:vMerge w:val="continue"/>
            <w:tcBorders>
              <w:left w:val="single" w:color="auto" w:sz="4" w:space="0"/>
            </w:tcBorders>
            <w:shd w:val="clear" w:color="auto" w:fill="auto"/>
            <w:vAlign w:val="center"/>
          </w:tcPr>
          <w:p w14:paraId="65E60231">
            <w:pPr>
              <w:widowControl/>
              <w:spacing w:line="240" w:lineRule="auto"/>
              <w:ind w:firstLine="0" w:firstLineChars="0"/>
              <w:rPr>
                <w:rFonts w:eastAsia="宋体" w:cs="Times New Roman"/>
                <w:color w:val="000000"/>
                <w:sz w:val="20"/>
                <w:szCs w:val="20"/>
              </w:rPr>
            </w:pPr>
          </w:p>
        </w:tc>
        <w:tc>
          <w:tcPr>
            <w:tcW w:w="1538" w:type="pct"/>
            <w:shd w:val="clear" w:color="auto" w:fill="auto"/>
            <w:vAlign w:val="center"/>
          </w:tcPr>
          <w:p w14:paraId="43EF04BE">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资金使用合规性</w:t>
            </w:r>
          </w:p>
        </w:tc>
        <w:tc>
          <w:tcPr>
            <w:tcW w:w="427" w:type="pct"/>
            <w:shd w:val="clear" w:color="auto" w:fill="auto"/>
            <w:vAlign w:val="center"/>
          </w:tcPr>
          <w:p w14:paraId="4395B8ED">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1.00</w:t>
            </w:r>
          </w:p>
        </w:tc>
        <w:tc>
          <w:tcPr>
            <w:tcW w:w="598" w:type="pct"/>
            <w:shd w:val="clear" w:color="auto" w:fill="auto"/>
            <w:noWrap/>
            <w:vAlign w:val="center"/>
          </w:tcPr>
          <w:p w14:paraId="61E43603">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1.00</w:t>
            </w:r>
          </w:p>
        </w:tc>
        <w:tc>
          <w:tcPr>
            <w:tcW w:w="731" w:type="pct"/>
            <w:tcBorders>
              <w:right w:val="single" w:color="auto" w:sz="4" w:space="0"/>
            </w:tcBorders>
            <w:shd w:val="clear" w:color="auto" w:fill="auto"/>
            <w:noWrap/>
            <w:vAlign w:val="center"/>
          </w:tcPr>
          <w:p w14:paraId="0AF8E9BC">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100%</w:t>
            </w:r>
          </w:p>
        </w:tc>
      </w:tr>
      <w:tr w14:paraId="304BCB1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67" w:type="pct"/>
            <w:vMerge w:val="continue"/>
            <w:tcBorders>
              <w:left w:val="single" w:color="auto" w:sz="4" w:space="0"/>
            </w:tcBorders>
          </w:tcPr>
          <w:p w14:paraId="41E2197E">
            <w:pPr>
              <w:widowControl/>
              <w:spacing w:line="240" w:lineRule="auto"/>
              <w:ind w:firstLine="0" w:firstLineChars="0"/>
              <w:rPr>
                <w:rFonts w:eastAsia="宋体" w:cs="Times New Roman"/>
                <w:color w:val="000000"/>
                <w:sz w:val="20"/>
                <w:szCs w:val="20"/>
              </w:rPr>
            </w:pPr>
          </w:p>
        </w:tc>
        <w:tc>
          <w:tcPr>
            <w:tcW w:w="939" w:type="pct"/>
            <w:vMerge w:val="continue"/>
            <w:tcBorders>
              <w:left w:val="single" w:color="auto" w:sz="4" w:space="0"/>
            </w:tcBorders>
            <w:shd w:val="clear" w:color="auto" w:fill="auto"/>
            <w:vAlign w:val="center"/>
          </w:tcPr>
          <w:p w14:paraId="19F8BF02">
            <w:pPr>
              <w:widowControl/>
              <w:spacing w:line="240" w:lineRule="auto"/>
              <w:ind w:firstLine="0" w:firstLineChars="0"/>
              <w:rPr>
                <w:rFonts w:eastAsia="宋体" w:cs="Times New Roman"/>
                <w:color w:val="000000"/>
                <w:sz w:val="20"/>
                <w:szCs w:val="20"/>
              </w:rPr>
            </w:pPr>
          </w:p>
        </w:tc>
        <w:tc>
          <w:tcPr>
            <w:tcW w:w="1538" w:type="pct"/>
            <w:shd w:val="clear" w:color="auto" w:fill="auto"/>
            <w:vAlign w:val="center"/>
          </w:tcPr>
          <w:p w14:paraId="76C46718">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财务监控有效性</w:t>
            </w:r>
          </w:p>
        </w:tc>
        <w:tc>
          <w:tcPr>
            <w:tcW w:w="427" w:type="pct"/>
            <w:shd w:val="clear" w:color="auto" w:fill="auto"/>
            <w:vAlign w:val="center"/>
          </w:tcPr>
          <w:p w14:paraId="67B40CD6">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2.00</w:t>
            </w:r>
          </w:p>
        </w:tc>
        <w:tc>
          <w:tcPr>
            <w:tcW w:w="598" w:type="pct"/>
            <w:shd w:val="clear" w:color="auto" w:fill="auto"/>
            <w:noWrap/>
            <w:vAlign w:val="center"/>
          </w:tcPr>
          <w:p w14:paraId="015D572C">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1.00</w:t>
            </w:r>
          </w:p>
        </w:tc>
        <w:tc>
          <w:tcPr>
            <w:tcW w:w="731" w:type="pct"/>
            <w:tcBorders>
              <w:right w:val="single" w:color="auto" w:sz="4" w:space="0"/>
            </w:tcBorders>
            <w:shd w:val="clear" w:color="auto" w:fill="auto"/>
            <w:noWrap/>
            <w:vAlign w:val="center"/>
          </w:tcPr>
          <w:p w14:paraId="74E5D5E6">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50%</w:t>
            </w:r>
          </w:p>
        </w:tc>
      </w:tr>
      <w:tr w14:paraId="53783B4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67" w:type="pct"/>
            <w:vMerge w:val="continue"/>
            <w:tcBorders>
              <w:left w:val="single" w:color="auto" w:sz="4" w:space="0"/>
            </w:tcBorders>
          </w:tcPr>
          <w:p w14:paraId="66BC3F4C">
            <w:pPr>
              <w:widowControl/>
              <w:spacing w:line="240" w:lineRule="auto"/>
              <w:ind w:firstLine="0" w:firstLineChars="0"/>
              <w:jc w:val="center"/>
              <w:rPr>
                <w:rFonts w:eastAsia="宋体" w:cs="Times New Roman"/>
                <w:color w:val="000000"/>
                <w:sz w:val="20"/>
                <w:szCs w:val="20"/>
              </w:rPr>
            </w:pPr>
          </w:p>
        </w:tc>
        <w:tc>
          <w:tcPr>
            <w:tcW w:w="939" w:type="pct"/>
            <w:tcBorders>
              <w:left w:val="single" w:color="auto" w:sz="4" w:space="0"/>
            </w:tcBorders>
            <w:shd w:val="clear" w:color="auto" w:fill="auto"/>
            <w:vAlign w:val="center"/>
          </w:tcPr>
          <w:p w14:paraId="5ED53B0C">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行政成本</w:t>
            </w:r>
          </w:p>
        </w:tc>
        <w:tc>
          <w:tcPr>
            <w:tcW w:w="1538" w:type="pct"/>
            <w:shd w:val="clear" w:color="auto" w:fill="auto"/>
            <w:vAlign w:val="center"/>
          </w:tcPr>
          <w:p w14:paraId="35471F8A">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“三公”经费控制</w:t>
            </w:r>
          </w:p>
        </w:tc>
        <w:tc>
          <w:tcPr>
            <w:tcW w:w="427" w:type="pct"/>
            <w:shd w:val="clear" w:color="auto" w:fill="auto"/>
            <w:vAlign w:val="center"/>
          </w:tcPr>
          <w:p w14:paraId="0491C55B">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1.00</w:t>
            </w:r>
          </w:p>
        </w:tc>
        <w:tc>
          <w:tcPr>
            <w:tcW w:w="598" w:type="pct"/>
            <w:shd w:val="clear" w:color="auto" w:fill="auto"/>
            <w:noWrap/>
            <w:vAlign w:val="center"/>
          </w:tcPr>
          <w:p w14:paraId="674CEDD4">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1.00</w:t>
            </w:r>
          </w:p>
        </w:tc>
        <w:tc>
          <w:tcPr>
            <w:tcW w:w="731" w:type="pct"/>
            <w:tcBorders>
              <w:right w:val="single" w:color="auto" w:sz="4" w:space="0"/>
            </w:tcBorders>
            <w:shd w:val="clear" w:color="auto" w:fill="auto"/>
            <w:noWrap/>
            <w:vAlign w:val="center"/>
          </w:tcPr>
          <w:p w14:paraId="0D4CB995">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100%</w:t>
            </w:r>
          </w:p>
        </w:tc>
      </w:tr>
      <w:tr w14:paraId="26E6D28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67" w:type="pct"/>
            <w:vMerge w:val="continue"/>
            <w:tcBorders>
              <w:left w:val="single" w:color="auto" w:sz="4" w:space="0"/>
            </w:tcBorders>
          </w:tcPr>
          <w:p w14:paraId="46861A4F">
            <w:pPr>
              <w:widowControl/>
              <w:spacing w:line="240" w:lineRule="auto"/>
              <w:ind w:firstLine="0" w:firstLineChars="0"/>
              <w:jc w:val="center"/>
              <w:rPr>
                <w:rFonts w:eastAsia="宋体" w:cs="Times New Roman"/>
                <w:color w:val="000000"/>
                <w:sz w:val="20"/>
                <w:szCs w:val="20"/>
              </w:rPr>
            </w:pPr>
          </w:p>
        </w:tc>
        <w:tc>
          <w:tcPr>
            <w:tcW w:w="939" w:type="pct"/>
            <w:tcBorders>
              <w:left w:val="single" w:color="auto" w:sz="4" w:space="0"/>
            </w:tcBorders>
            <w:shd w:val="clear" w:color="auto" w:fill="auto"/>
            <w:vAlign w:val="center"/>
          </w:tcPr>
          <w:p w14:paraId="21AC1F8B">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政府采购</w:t>
            </w:r>
          </w:p>
        </w:tc>
        <w:tc>
          <w:tcPr>
            <w:tcW w:w="1538" w:type="pct"/>
            <w:shd w:val="clear" w:color="auto" w:fill="auto"/>
            <w:vAlign w:val="center"/>
          </w:tcPr>
          <w:p w14:paraId="6342DEFA">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采购规范性</w:t>
            </w:r>
          </w:p>
        </w:tc>
        <w:tc>
          <w:tcPr>
            <w:tcW w:w="427" w:type="pct"/>
            <w:shd w:val="clear" w:color="auto" w:fill="auto"/>
            <w:vAlign w:val="center"/>
          </w:tcPr>
          <w:p w14:paraId="1771019A">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1.00</w:t>
            </w:r>
          </w:p>
        </w:tc>
        <w:tc>
          <w:tcPr>
            <w:tcW w:w="598" w:type="pct"/>
            <w:shd w:val="clear" w:color="auto" w:fill="auto"/>
            <w:noWrap/>
            <w:vAlign w:val="center"/>
          </w:tcPr>
          <w:p w14:paraId="6557302F">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0.50</w:t>
            </w:r>
          </w:p>
        </w:tc>
        <w:tc>
          <w:tcPr>
            <w:tcW w:w="731" w:type="pct"/>
            <w:tcBorders>
              <w:right w:val="single" w:color="auto" w:sz="4" w:space="0"/>
            </w:tcBorders>
            <w:shd w:val="clear" w:color="auto" w:fill="auto"/>
            <w:noWrap/>
            <w:vAlign w:val="center"/>
          </w:tcPr>
          <w:p w14:paraId="5CE0609A">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50%</w:t>
            </w:r>
          </w:p>
        </w:tc>
      </w:tr>
      <w:tr w14:paraId="4BF7CAF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67" w:type="pct"/>
            <w:vMerge w:val="continue"/>
            <w:tcBorders>
              <w:left w:val="single" w:color="auto" w:sz="4" w:space="0"/>
            </w:tcBorders>
          </w:tcPr>
          <w:p w14:paraId="0026818C">
            <w:pPr>
              <w:widowControl/>
              <w:spacing w:line="240" w:lineRule="auto"/>
              <w:ind w:firstLine="0" w:firstLineChars="0"/>
              <w:jc w:val="center"/>
              <w:rPr>
                <w:rFonts w:eastAsia="宋体" w:cs="Times New Roman"/>
                <w:color w:val="000000"/>
                <w:sz w:val="20"/>
                <w:szCs w:val="20"/>
              </w:rPr>
            </w:pPr>
          </w:p>
        </w:tc>
        <w:tc>
          <w:tcPr>
            <w:tcW w:w="939" w:type="pct"/>
            <w:tcBorders>
              <w:left w:val="single" w:color="auto" w:sz="4" w:space="0"/>
            </w:tcBorders>
            <w:shd w:val="clear" w:color="auto" w:fill="auto"/>
            <w:vAlign w:val="center"/>
          </w:tcPr>
          <w:p w14:paraId="604493CD">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资产管理</w:t>
            </w:r>
          </w:p>
        </w:tc>
        <w:tc>
          <w:tcPr>
            <w:tcW w:w="1538" w:type="pct"/>
            <w:shd w:val="clear" w:color="auto" w:fill="auto"/>
            <w:vAlign w:val="center"/>
          </w:tcPr>
          <w:p w14:paraId="41E7054D">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固定资产在用率</w:t>
            </w:r>
          </w:p>
        </w:tc>
        <w:tc>
          <w:tcPr>
            <w:tcW w:w="427" w:type="pct"/>
            <w:shd w:val="clear" w:color="auto" w:fill="auto"/>
            <w:vAlign w:val="center"/>
          </w:tcPr>
          <w:p w14:paraId="56C33D6D">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2.00</w:t>
            </w:r>
          </w:p>
        </w:tc>
        <w:tc>
          <w:tcPr>
            <w:tcW w:w="598" w:type="pct"/>
            <w:shd w:val="clear" w:color="auto" w:fill="auto"/>
            <w:noWrap/>
            <w:vAlign w:val="center"/>
          </w:tcPr>
          <w:p w14:paraId="1B18725D">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2.00</w:t>
            </w:r>
          </w:p>
        </w:tc>
        <w:tc>
          <w:tcPr>
            <w:tcW w:w="731" w:type="pct"/>
            <w:tcBorders>
              <w:right w:val="single" w:color="auto" w:sz="4" w:space="0"/>
            </w:tcBorders>
            <w:shd w:val="clear" w:color="auto" w:fill="auto"/>
            <w:noWrap/>
            <w:vAlign w:val="center"/>
          </w:tcPr>
          <w:p w14:paraId="13E8259E">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100%</w:t>
            </w:r>
          </w:p>
        </w:tc>
      </w:tr>
      <w:tr w14:paraId="6C07373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67" w:type="pct"/>
            <w:vMerge w:val="continue"/>
            <w:tcBorders>
              <w:left w:val="single" w:color="auto" w:sz="4" w:space="0"/>
            </w:tcBorders>
          </w:tcPr>
          <w:p w14:paraId="7C32DBF1">
            <w:pPr>
              <w:widowControl/>
              <w:spacing w:line="240" w:lineRule="auto"/>
              <w:ind w:firstLine="0" w:firstLineChars="0"/>
              <w:jc w:val="center"/>
              <w:rPr>
                <w:rFonts w:eastAsia="宋体" w:cs="Times New Roman"/>
                <w:color w:val="000000"/>
                <w:sz w:val="20"/>
                <w:szCs w:val="20"/>
              </w:rPr>
            </w:pPr>
          </w:p>
        </w:tc>
        <w:tc>
          <w:tcPr>
            <w:tcW w:w="939" w:type="pct"/>
            <w:tcBorders>
              <w:left w:val="single" w:color="auto" w:sz="4" w:space="0"/>
            </w:tcBorders>
            <w:shd w:val="clear" w:color="auto" w:fill="auto"/>
            <w:vAlign w:val="center"/>
          </w:tcPr>
          <w:p w14:paraId="462CA7CF">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信息公开</w:t>
            </w:r>
          </w:p>
        </w:tc>
        <w:tc>
          <w:tcPr>
            <w:tcW w:w="1538" w:type="pct"/>
            <w:shd w:val="clear" w:color="auto" w:fill="auto"/>
            <w:vAlign w:val="center"/>
          </w:tcPr>
          <w:p w14:paraId="3A2E8265">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信息公开</w:t>
            </w:r>
          </w:p>
        </w:tc>
        <w:tc>
          <w:tcPr>
            <w:tcW w:w="427" w:type="pct"/>
            <w:shd w:val="clear" w:color="auto" w:fill="auto"/>
            <w:vAlign w:val="center"/>
          </w:tcPr>
          <w:p w14:paraId="254D407F">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2.00</w:t>
            </w:r>
          </w:p>
        </w:tc>
        <w:tc>
          <w:tcPr>
            <w:tcW w:w="598" w:type="pct"/>
            <w:shd w:val="clear" w:color="auto" w:fill="auto"/>
            <w:noWrap/>
            <w:vAlign w:val="center"/>
          </w:tcPr>
          <w:p w14:paraId="1FB01FE1">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2.00</w:t>
            </w:r>
          </w:p>
        </w:tc>
        <w:tc>
          <w:tcPr>
            <w:tcW w:w="731" w:type="pct"/>
            <w:tcBorders>
              <w:right w:val="single" w:color="auto" w:sz="4" w:space="0"/>
            </w:tcBorders>
            <w:shd w:val="clear" w:color="auto" w:fill="auto"/>
            <w:noWrap/>
            <w:vAlign w:val="center"/>
          </w:tcPr>
          <w:p w14:paraId="42C3C91D">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100%</w:t>
            </w:r>
          </w:p>
        </w:tc>
      </w:tr>
      <w:tr w14:paraId="0D6E9CF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3244" w:type="pct"/>
            <w:gridSpan w:val="3"/>
            <w:tcBorders>
              <w:left w:val="single" w:color="auto" w:sz="4" w:space="0"/>
            </w:tcBorders>
          </w:tcPr>
          <w:p w14:paraId="6BDE6FCE">
            <w:pPr>
              <w:widowControl/>
              <w:spacing w:line="240" w:lineRule="auto"/>
              <w:ind w:firstLine="0" w:firstLineChars="0"/>
              <w:jc w:val="center"/>
              <w:rPr>
                <w:rFonts w:eastAsia="宋体" w:cs="Times New Roman"/>
                <w:b/>
                <w:bCs/>
                <w:color w:val="000000"/>
                <w:sz w:val="20"/>
                <w:szCs w:val="20"/>
              </w:rPr>
            </w:pPr>
            <w:r>
              <w:rPr>
                <w:rFonts w:eastAsia="宋体" w:cs="Times New Roman"/>
                <w:b/>
                <w:bCs/>
                <w:color w:val="000000"/>
                <w:sz w:val="20"/>
                <w:szCs w:val="20"/>
              </w:rPr>
              <w:t>合计</w:t>
            </w:r>
          </w:p>
        </w:tc>
        <w:tc>
          <w:tcPr>
            <w:tcW w:w="427" w:type="pct"/>
            <w:shd w:val="clear" w:color="auto" w:fill="auto"/>
            <w:vAlign w:val="center"/>
          </w:tcPr>
          <w:p w14:paraId="4F741378">
            <w:pPr>
              <w:widowControl/>
              <w:spacing w:line="240" w:lineRule="auto"/>
              <w:ind w:firstLine="0" w:firstLineChars="0"/>
              <w:jc w:val="center"/>
              <w:rPr>
                <w:rFonts w:eastAsia="宋体" w:cs="Times New Roman"/>
                <w:b/>
                <w:bCs/>
                <w:color w:val="000000"/>
                <w:sz w:val="20"/>
                <w:szCs w:val="20"/>
              </w:rPr>
            </w:pPr>
            <w:r>
              <w:rPr>
                <w:rFonts w:eastAsia="宋体" w:cs="Times New Roman"/>
                <w:b/>
                <w:bCs/>
                <w:color w:val="000000"/>
                <w:sz w:val="20"/>
                <w:szCs w:val="20"/>
              </w:rPr>
              <w:t>10.00</w:t>
            </w:r>
          </w:p>
        </w:tc>
        <w:tc>
          <w:tcPr>
            <w:tcW w:w="598" w:type="pct"/>
            <w:shd w:val="clear" w:color="auto" w:fill="auto"/>
            <w:noWrap/>
            <w:vAlign w:val="center"/>
          </w:tcPr>
          <w:p w14:paraId="331BB025">
            <w:pPr>
              <w:widowControl/>
              <w:spacing w:line="240" w:lineRule="auto"/>
              <w:ind w:firstLine="0" w:firstLineChars="0"/>
              <w:jc w:val="center"/>
              <w:rPr>
                <w:rFonts w:eastAsia="宋体" w:cs="Times New Roman"/>
                <w:b/>
                <w:bCs/>
                <w:color w:val="000000"/>
                <w:sz w:val="20"/>
                <w:szCs w:val="20"/>
              </w:rPr>
            </w:pPr>
            <w:r>
              <w:rPr>
                <w:rFonts w:eastAsia="宋体" w:cs="Times New Roman"/>
                <w:b/>
                <w:bCs/>
                <w:color w:val="000000"/>
                <w:sz w:val="20"/>
                <w:szCs w:val="20"/>
              </w:rPr>
              <w:t>7.75</w:t>
            </w:r>
          </w:p>
        </w:tc>
        <w:tc>
          <w:tcPr>
            <w:tcW w:w="731" w:type="pct"/>
            <w:tcBorders>
              <w:right w:val="single" w:color="auto" w:sz="4" w:space="0"/>
            </w:tcBorders>
            <w:shd w:val="clear" w:color="auto" w:fill="auto"/>
            <w:noWrap/>
            <w:vAlign w:val="center"/>
          </w:tcPr>
          <w:p w14:paraId="48415535">
            <w:pPr>
              <w:widowControl/>
              <w:spacing w:line="240" w:lineRule="auto"/>
              <w:ind w:firstLine="0" w:firstLineChars="0"/>
              <w:jc w:val="center"/>
              <w:rPr>
                <w:rFonts w:eastAsia="宋体" w:cs="Times New Roman"/>
                <w:b/>
                <w:bCs/>
                <w:color w:val="000000"/>
                <w:sz w:val="20"/>
                <w:szCs w:val="20"/>
              </w:rPr>
            </w:pPr>
            <w:r>
              <w:rPr>
                <w:rFonts w:eastAsia="宋体" w:cs="Times New Roman"/>
                <w:b/>
                <w:bCs/>
                <w:color w:val="000000"/>
                <w:sz w:val="20"/>
                <w:szCs w:val="20"/>
              </w:rPr>
              <w:t>77.50%</w:t>
            </w:r>
          </w:p>
        </w:tc>
      </w:tr>
    </w:tbl>
    <w:p w14:paraId="67884083">
      <w:pPr>
        <w:pStyle w:val="6"/>
        <w:ind w:firstLine="640" w:firstLineChars="200"/>
        <w:jc w:val="both"/>
        <w:rPr>
          <w:rFonts w:eastAsia="楷体_GB2312" w:cs="Times New Roman"/>
          <w:sz w:val="32"/>
        </w:rPr>
      </w:pPr>
    </w:p>
    <w:p w14:paraId="711FD5CD">
      <w:pPr>
        <w:pStyle w:val="3"/>
        <w:spacing w:line="600" w:lineRule="exact"/>
        <w:ind w:firstLine="643" w:firstLineChars="200"/>
        <w:jc w:val="both"/>
        <w:rPr>
          <w:rFonts w:eastAsia="楷体_GB2312" w:cs="Times New Roman"/>
          <w:sz w:val="32"/>
        </w:rPr>
      </w:pPr>
      <w:bookmarkStart w:id="23" w:name="_Toc77784245"/>
      <w:r>
        <w:rPr>
          <w:rFonts w:hint="eastAsia" w:eastAsia="楷体_GB2312" w:cs="Times New Roman"/>
          <w:sz w:val="32"/>
        </w:rPr>
        <w:t>（一）基础管理</w:t>
      </w:r>
      <w:bookmarkEnd w:id="23"/>
    </w:p>
    <w:p w14:paraId="6D5A0F1C">
      <w:pPr>
        <w:ind w:firstLine="640"/>
        <w:rPr>
          <w:rFonts w:eastAsia="仿宋_GB2312" w:cs="Times New Roman"/>
          <w:sz w:val="32"/>
          <w:szCs w:val="24"/>
        </w:rPr>
      </w:pPr>
      <w:r>
        <w:rPr>
          <w:rFonts w:hint="eastAsia" w:eastAsia="仿宋_GB2312" w:cs="Times New Roman"/>
          <w:sz w:val="32"/>
          <w:szCs w:val="24"/>
        </w:rPr>
        <w:t>基础管理下设管理制度健全、资金使用合规性以及财务监控有效性3项三级指标。</w:t>
      </w:r>
    </w:p>
    <w:p w14:paraId="330285E8">
      <w:pPr>
        <w:ind w:firstLine="640"/>
        <w:rPr>
          <w:rFonts w:eastAsia="仿宋_GB2312" w:cs="Times New Roman"/>
          <w:sz w:val="32"/>
          <w:szCs w:val="24"/>
        </w:rPr>
      </w:pPr>
      <w:r>
        <w:rPr>
          <w:rFonts w:hint="eastAsia" w:eastAsia="仿宋_GB2312" w:cs="Times New Roman"/>
          <w:sz w:val="32"/>
          <w:szCs w:val="24"/>
        </w:rPr>
        <w:t>1．管理制度健全</w:t>
      </w:r>
    </w:p>
    <w:p w14:paraId="02D7DBF1">
      <w:pPr>
        <w:ind w:firstLine="640"/>
        <w:rPr>
          <w:rFonts w:eastAsia="仿宋_GB2312" w:cs="Times New Roman"/>
          <w:sz w:val="32"/>
          <w:szCs w:val="24"/>
        </w:rPr>
      </w:pPr>
      <w:r>
        <w:rPr>
          <w:rFonts w:hint="eastAsia" w:eastAsia="仿宋_GB2312" w:cs="Times New Roman"/>
          <w:sz w:val="32"/>
          <w:szCs w:val="24"/>
        </w:rPr>
        <w:t>管理制度健全权重1</w:t>
      </w:r>
      <w:r>
        <w:rPr>
          <w:rFonts w:eastAsia="仿宋_GB2312" w:cs="Times New Roman"/>
          <w:sz w:val="32"/>
          <w:szCs w:val="24"/>
        </w:rPr>
        <w:t>.00</w:t>
      </w:r>
      <w:r>
        <w:rPr>
          <w:rFonts w:hint="eastAsia" w:eastAsia="仿宋_GB2312" w:cs="Times New Roman"/>
          <w:sz w:val="32"/>
          <w:szCs w:val="24"/>
        </w:rPr>
        <w:t>分，实际得分</w:t>
      </w:r>
      <w:r>
        <w:rPr>
          <w:rFonts w:eastAsia="仿宋_GB2312" w:cs="Times New Roman"/>
          <w:sz w:val="32"/>
          <w:szCs w:val="24"/>
        </w:rPr>
        <w:t>0.25</w:t>
      </w:r>
      <w:r>
        <w:rPr>
          <w:rFonts w:hint="eastAsia" w:eastAsia="仿宋_GB2312" w:cs="Times New Roman"/>
          <w:sz w:val="32"/>
          <w:szCs w:val="24"/>
        </w:rPr>
        <w:t>分，得分率2</w:t>
      </w:r>
      <w:r>
        <w:rPr>
          <w:rFonts w:eastAsia="仿宋_GB2312" w:cs="Times New Roman"/>
          <w:sz w:val="32"/>
          <w:szCs w:val="24"/>
        </w:rPr>
        <w:t>5.00</w:t>
      </w:r>
      <w:r>
        <w:rPr>
          <w:rFonts w:hint="eastAsia" w:eastAsia="仿宋_GB2312" w:cs="Times New Roman"/>
          <w:sz w:val="32"/>
          <w:szCs w:val="24"/>
        </w:rPr>
        <w:t>%。绵竹市自然资源和规划局未根据机构改革后的职能职责建立新的管理制度，而是主要采用原国土资源局印发的《内部管理制度》等11项制度进行管理，与机构改革后的部门职能职责不完全匹配，故扣0</w:t>
      </w:r>
      <w:r>
        <w:rPr>
          <w:rFonts w:eastAsia="仿宋_GB2312" w:cs="Times New Roman"/>
          <w:sz w:val="32"/>
          <w:szCs w:val="24"/>
        </w:rPr>
        <w:t>.75</w:t>
      </w:r>
      <w:r>
        <w:rPr>
          <w:rFonts w:hint="eastAsia" w:eastAsia="仿宋_GB2312" w:cs="Times New Roman"/>
          <w:sz w:val="32"/>
          <w:szCs w:val="24"/>
        </w:rPr>
        <w:t>分。</w:t>
      </w:r>
    </w:p>
    <w:p w14:paraId="597064DB">
      <w:pPr>
        <w:ind w:firstLine="640"/>
        <w:rPr>
          <w:rFonts w:eastAsia="仿宋_GB2312" w:cs="Times New Roman"/>
          <w:sz w:val="32"/>
          <w:szCs w:val="24"/>
        </w:rPr>
      </w:pPr>
    </w:p>
    <w:p w14:paraId="2E1D6B0B">
      <w:pPr>
        <w:ind w:firstLine="0" w:firstLineChars="0"/>
        <w:jc w:val="center"/>
        <w:rPr>
          <w:rFonts w:ascii="幼圆" w:eastAsia="幼圆"/>
          <w:b/>
          <w:bCs/>
          <w:szCs w:val="28"/>
        </w:rPr>
      </w:pPr>
      <w:r>
        <w:rPr>
          <w:rFonts w:hint="eastAsia" w:ascii="幼圆" w:eastAsia="幼圆"/>
          <w:b/>
          <w:bCs/>
          <w:szCs w:val="28"/>
        </w:rPr>
        <w:t>附表 绵竹市自然资源和规划局现行管理制度情况</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6033"/>
      </w:tblGrid>
      <w:tr w14:paraId="11CF1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263" w:type="dxa"/>
            <w:shd w:val="clear" w:color="auto" w:fill="00516B"/>
            <w:vAlign w:val="center"/>
          </w:tcPr>
          <w:p w14:paraId="39A04B35">
            <w:pPr>
              <w:widowControl/>
              <w:spacing w:line="240" w:lineRule="auto"/>
              <w:ind w:firstLine="0" w:firstLineChars="0"/>
              <w:jc w:val="center"/>
              <w:rPr>
                <w:rFonts w:ascii="宋体" w:hAnsi="宋体" w:eastAsia="宋体"/>
                <w:b/>
                <w:bCs/>
                <w:color w:val="FFFFFF" w:themeColor="background1"/>
                <w:sz w:val="20"/>
                <w:szCs w:val="20"/>
              </w:rPr>
            </w:pPr>
            <w:r>
              <w:rPr>
                <w:rFonts w:hint="eastAsia" w:ascii="宋体" w:hAnsi="宋体" w:eastAsia="宋体"/>
                <w:b/>
                <w:bCs/>
                <w:color w:val="FFFFFF" w:themeColor="background1"/>
                <w:sz w:val="20"/>
                <w:szCs w:val="20"/>
              </w:rPr>
              <w:t>制定单位</w:t>
            </w:r>
          </w:p>
        </w:tc>
        <w:tc>
          <w:tcPr>
            <w:tcW w:w="6033" w:type="dxa"/>
            <w:shd w:val="clear" w:color="auto" w:fill="00516B"/>
            <w:vAlign w:val="center"/>
          </w:tcPr>
          <w:p w14:paraId="5572024D">
            <w:pPr>
              <w:widowControl/>
              <w:spacing w:line="240" w:lineRule="auto"/>
              <w:ind w:firstLine="0" w:firstLineChars="0"/>
              <w:jc w:val="center"/>
              <w:rPr>
                <w:rFonts w:ascii="宋体" w:hAnsi="宋体" w:eastAsia="宋体"/>
                <w:b/>
                <w:bCs/>
                <w:color w:val="FFFFFF" w:themeColor="background1"/>
                <w:sz w:val="20"/>
                <w:szCs w:val="20"/>
              </w:rPr>
            </w:pPr>
            <w:r>
              <w:rPr>
                <w:rFonts w:hint="eastAsia" w:ascii="宋体" w:hAnsi="宋体" w:eastAsia="宋体"/>
                <w:b/>
                <w:bCs/>
                <w:color w:val="FFFFFF" w:themeColor="background1"/>
                <w:sz w:val="20"/>
                <w:szCs w:val="20"/>
              </w:rPr>
              <w:t>制度名称</w:t>
            </w:r>
          </w:p>
        </w:tc>
      </w:tr>
      <w:tr w14:paraId="2226B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Merge w:val="restart"/>
            <w:vAlign w:val="center"/>
          </w:tcPr>
          <w:p w14:paraId="511F2D17">
            <w:pPr>
              <w:widowControl/>
              <w:spacing w:line="240" w:lineRule="auto"/>
              <w:ind w:firstLine="0" w:firstLineChars="0"/>
              <w:jc w:val="center"/>
              <w:rPr>
                <w:rFonts w:ascii="宋体" w:hAnsi="宋体" w:eastAsia="宋体"/>
                <w:color w:val="000000"/>
                <w:sz w:val="20"/>
                <w:szCs w:val="20"/>
              </w:rPr>
            </w:pPr>
            <w:r>
              <w:rPr>
                <w:rFonts w:hint="eastAsia" w:ascii="宋体" w:hAnsi="宋体" w:eastAsia="宋体"/>
                <w:color w:val="000000"/>
                <w:sz w:val="20"/>
                <w:szCs w:val="20"/>
              </w:rPr>
              <w:t>原国土资源局</w:t>
            </w:r>
          </w:p>
        </w:tc>
        <w:tc>
          <w:tcPr>
            <w:tcW w:w="6033" w:type="dxa"/>
            <w:vAlign w:val="center"/>
          </w:tcPr>
          <w:p w14:paraId="341198FB">
            <w:pPr>
              <w:widowControl/>
              <w:spacing w:line="240" w:lineRule="auto"/>
              <w:ind w:firstLine="0" w:firstLineChars="0"/>
              <w:jc w:val="center"/>
              <w:rPr>
                <w:rFonts w:ascii="宋体" w:hAnsi="宋体" w:eastAsia="宋体"/>
                <w:color w:val="000000"/>
                <w:sz w:val="20"/>
                <w:szCs w:val="20"/>
              </w:rPr>
            </w:pPr>
            <w:r>
              <w:rPr>
                <w:rFonts w:hint="eastAsia" w:ascii="宋体" w:hAnsi="宋体" w:eastAsia="宋体"/>
                <w:color w:val="000000"/>
                <w:sz w:val="20"/>
                <w:szCs w:val="20"/>
              </w:rPr>
              <w:t>《绵竹市国土资源局内部管理制度》</w:t>
            </w:r>
          </w:p>
        </w:tc>
      </w:tr>
      <w:tr w14:paraId="730A2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Merge w:val="continue"/>
            <w:vAlign w:val="center"/>
          </w:tcPr>
          <w:p w14:paraId="421DBEF4">
            <w:pPr>
              <w:widowControl/>
              <w:spacing w:line="240" w:lineRule="auto"/>
              <w:ind w:firstLine="0" w:firstLineChars="0"/>
              <w:jc w:val="center"/>
              <w:rPr>
                <w:rFonts w:ascii="宋体" w:hAnsi="宋体" w:eastAsia="宋体"/>
                <w:color w:val="000000"/>
                <w:sz w:val="20"/>
                <w:szCs w:val="20"/>
              </w:rPr>
            </w:pPr>
          </w:p>
        </w:tc>
        <w:tc>
          <w:tcPr>
            <w:tcW w:w="6033" w:type="dxa"/>
            <w:vAlign w:val="center"/>
          </w:tcPr>
          <w:p w14:paraId="0A337488">
            <w:pPr>
              <w:widowControl/>
              <w:spacing w:line="240" w:lineRule="auto"/>
              <w:ind w:firstLine="0" w:firstLineChars="0"/>
              <w:jc w:val="center"/>
              <w:rPr>
                <w:rFonts w:ascii="宋体" w:hAnsi="宋体" w:eastAsia="宋体"/>
                <w:color w:val="000000"/>
                <w:sz w:val="20"/>
                <w:szCs w:val="20"/>
              </w:rPr>
            </w:pPr>
            <w:r>
              <w:rPr>
                <w:rFonts w:hint="eastAsia" w:ascii="宋体" w:hAnsi="宋体" w:eastAsia="宋体"/>
                <w:color w:val="000000"/>
                <w:sz w:val="20"/>
                <w:szCs w:val="20"/>
              </w:rPr>
              <w:t>《绵竹市国土资源局采矿权审批集体会审方案》</w:t>
            </w:r>
          </w:p>
        </w:tc>
      </w:tr>
      <w:tr w14:paraId="6164E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Merge w:val="continue"/>
            <w:vAlign w:val="center"/>
          </w:tcPr>
          <w:p w14:paraId="67E2028B">
            <w:pPr>
              <w:widowControl/>
              <w:spacing w:line="240" w:lineRule="auto"/>
              <w:ind w:firstLine="0" w:firstLineChars="0"/>
              <w:jc w:val="center"/>
              <w:rPr>
                <w:rFonts w:ascii="宋体" w:hAnsi="宋体" w:eastAsia="宋体"/>
                <w:color w:val="000000"/>
                <w:sz w:val="20"/>
                <w:szCs w:val="20"/>
              </w:rPr>
            </w:pPr>
          </w:p>
        </w:tc>
        <w:tc>
          <w:tcPr>
            <w:tcW w:w="6033" w:type="dxa"/>
            <w:vAlign w:val="center"/>
          </w:tcPr>
          <w:p w14:paraId="64887106">
            <w:pPr>
              <w:widowControl/>
              <w:spacing w:line="240" w:lineRule="auto"/>
              <w:ind w:firstLine="0" w:firstLineChars="0"/>
              <w:jc w:val="center"/>
              <w:rPr>
                <w:rFonts w:ascii="宋体" w:hAnsi="宋体" w:eastAsia="宋体"/>
                <w:color w:val="000000"/>
                <w:sz w:val="20"/>
                <w:szCs w:val="20"/>
              </w:rPr>
            </w:pPr>
            <w:r>
              <w:rPr>
                <w:rFonts w:hint="eastAsia" w:ascii="宋体" w:hAnsi="宋体" w:eastAsia="宋体"/>
                <w:color w:val="000000"/>
                <w:sz w:val="20"/>
                <w:szCs w:val="20"/>
              </w:rPr>
              <w:t>《绵竹市国土资源局行政处罚自由裁量权制度规范》</w:t>
            </w:r>
          </w:p>
        </w:tc>
      </w:tr>
      <w:tr w14:paraId="5C4DA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Merge w:val="continue"/>
            <w:vAlign w:val="center"/>
          </w:tcPr>
          <w:p w14:paraId="7807F1B6">
            <w:pPr>
              <w:widowControl/>
              <w:spacing w:line="240" w:lineRule="auto"/>
              <w:ind w:firstLine="0" w:firstLineChars="0"/>
              <w:jc w:val="center"/>
              <w:rPr>
                <w:rFonts w:ascii="宋体" w:hAnsi="宋体" w:eastAsia="宋体"/>
                <w:color w:val="000000"/>
                <w:sz w:val="20"/>
                <w:szCs w:val="20"/>
              </w:rPr>
            </w:pPr>
          </w:p>
        </w:tc>
        <w:tc>
          <w:tcPr>
            <w:tcW w:w="6033" w:type="dxa"/>
            <w:vAlign w:val="center"/>
          </w:tcPr>
          <w:p w14:paraId="63D0CCCD">
            <w:pPr>
              <w:widowControl/>
              <w:spacing w:line="240" w:lineRule="auto"/>
              <w:ind w:firstLine="0" w:firstLineChars="0"/>
              <w:jc w:val="center"/>
              <w:rPr>
                <w:rFonts w:ascii="宋体" w:hAnsi="宋体" w:eastAsia="宋体"/>
                <w:color w:val="000000"/>
                <w:sz w:val="20"/>
                <w:szCs w:val="20"/>
              </w:rPr>
            </w:pPr>
            <w:r>
              <w:rPr>
                <w:rFonts w:hint="eastAsia" w:ascii="宋体" w:hAnsi="宋体" w:eastAsia="宋体"/>
                <w:color w:val="000000"/>
                <w:sz w:val="20"/>
                <w:szCs w:val="20"/>
              </w:rPr>
              <w:t>《绵竹市国有建设用地使用权招标拍卖挂牌出让集体会审制度》</w:t>
            </w:r>
          </w:p>
        </w:tc>
      </w:tr>
      <w:tr w14:paraId="256DA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Merge w:val="continue"/>
            <w:vAlign w:val="center"/>
          </w:tcPr>
          <w:p w14:paraId="2B0E05C5">
            <w:pPr>
              <w:widowControl/>
              <w:spacing w:line="240" w:lineRule="auto"/>
              <w:ind w:firstLine="0" w:firstLineChars="0"/>
              <w:jc w:val="center"/>
              <w:rPr>
                <w:rFonts w:ascii="宋体" w:hAnsi="宋体" w:eastAsia="宋体"/>
                <w:color w:val="000000"/>
                <w:sz w:val="20"/>
                <w:szCs w:val="20"/>
              </w:rPr>
            </w:pPr>
          </w:p>
        </w:tc>
        <w:tc>
          <w:tcPr>
            <w:tcW w:w="6033" w:type="dxa"/>
            <w:vAlign w:val="center"/>
          </w:tcPr>
          <w:p w14:paraId="54002A8F">
            <w:pPr>
              <w:widowControl/>
              <w:spacing w:line="240" w:lineRule="auto"/>
              <w:ind w:firstLine="0" w:firstLineChars="0"/>
              <w:jc w:val="center"/>
              <w:rPr>
                <w:rFonts w:ascii="宋体" w:hAnsi="宋体" w:eastAsia="宋体"/>
                <w:color w:val="000000"/>
                <w:sz w:val="20"/>
                <w:szCs w:val="20"/>
              </w:rPr>
            </w:pPr>
            <w:r>
              <w:rPr>
                <w:rFonts w:hint="eastAsia" w:ascii="宋体" w:hAnsi="宋体" w:eastAsia="宋体"/>
                <w:color w:val="000000"/>
                <w:sz w:val="20"/>
                <w:szCs w:val="20"/>
              </w:rPr>
              <w:t>《绵竹市国土资源局财务支出审批规定》</w:t>
            </w:r>
          </w:p>
        </w:tc>
      </w:tr>
      <w:tr w14:paraId="43F40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Merge w:val="continue"/>
            <w:vAlign w:val="center"/>
          </w:tcPr>
          <w:p w14:paraId="79DB130E">
            <w:pPr>
              <w:widowControl/>
              <w:spacing w:line="240" w:lineRule="auto"/>
              <w:ind w:firstLine="0" w:firstLineChars="0"/>
              <w:jc w:val="center"/>
              <w:rPr>
                <w:rFonts w:ascii="宋体" w:hAnsi="宋体" w:eastAsia="宋体"/>
                <w:color w:val="000000"/>
                <w:sz w:val="20"/>
                <w:szCs w:val="20"/>
              </w:rPr>
            </w:pPr>
          </w:p>
        </w:tc>
        <w:tc>
          <w:tcPr>
            <w:tcW w:w="6033" w:type="dxa"/>
            <w:vAlign w:val="center"/>
          </w:tcPr>
          <w:p w14:paraId="6476FDD0">
            <w:pPr>
              <w:widowControl/>
              <w:spacing w:line="240" w:lineRule="auto"/>
              <w:ind w:firstLine="0" w:firstLineChars="0"/>
              <w:jc w:val="center"/>
              <w:rPr>
                <w:rFonts w:ascii="宋体" w:hAnsi="宋体" w:eastAsia="宋体"/>
                <w:color w:val="000000"/>
                <w:sz w:val="20"/>
                <w:szCs w:val="20"/>
              </w:rPr>
            </w:pPr>
            <w:r>
              <w:rPr>
                <w:rFonts w:hint="eastAsia" w:ascii="宋体" w:hAnsi="宋体" w:eastAsia="宋体"/>
                <w:color w:val="000000"/>
                <w:sz w:val="20"/>
                <w:szCs w:val="20"/>
              </w:rPr>
              <w:t>《绵竹市国土资源局信访举报受理工作制度》</w:t>
            </w:r>
          </w:p>
        </w:tc>
      </w:tr>
      <w:tr w14:paraId="50B62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Merge w:val="continue"/>
            <w:vAlign w:val="center"/>
          </w:tcPr>
          <w:p w14:paraId="04A28254">
            <w:pPr>
              <w:widowControl/>
              <w:spacing w:line="240" w:lineRule="auto"/>
              <w:ind w:firstLine="0" w:firstLineChars="0"/>
              <w:jc w:val="center"/>
              <w:rPr>
                <w:rFonts w:ascii="宋体" w:hAnsi="宋体" w:eastAsia="宋体"/>
                <w:color w:val="000000"/>
                <w:sz w:val="20"/>
                <w:szCs w:val="20"/>
              </w:rPr>
            </w:pPr>
          </w:p>
        </w:tc>
        <w:tc>
          <w:tcPr>
            <w:tcW w:w="6033" w:type="dxa"/>
            <w:vAlign w:val="center"/>
          </w:tcPr>
          <w:p w14:paraId="696E8A22">
            <w:pPr>
              <w:widowControl/>
              <w:spacing w:line="240" w:lineRule="auto"/>
              <w:ind w:firstLine="0" w:firstLineChars="0"/>
              <w:jc w:val="center"/>
              <w:rPr>
                <w:rFonts w:ascii="宋体" w:hAnsi="宋体" w:eastAsia="宋体"/>
                <w:color w:val="000000"/>
                <w:sz w:val="20"/>
                <w:szCs w:val="20"/>
              </w:rPr>
            </w:pPr>
            <w:r>
              <w:rPr>
                <w:rFonts w:hint="eastAsia" w:ascii="宋体" w:hAnsi="宋体" w:eastAsia="宋体"/>
                <w:color w:val="000000"/>
                <w:sz w:val="20"/>
                <w:szCs w:val="20"/>
              </w:rPr>
              <w:t>《绵竹市不动产登记监督管理办法》</w:t>
            </w:r>
          </w:p>
        </w:tc>
      </w:tr>
      <w:tr w14:paraId="18EE3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Merge w:val="continue"/>
            <w:vAlign w:val="center"/>
          </w:tcPr>
          <w:p w14:paraId="781CA056">
            <w:pPr>
              <w:widowControl/>
              <w:spacing w:line="240" w:lineRule="auto"/>
              <w:ind w:firstLine="0" w:firstLineChars="0"/>
              <w:jc w:val="center"/>
              <w:rPr>
                <w:rFonts w:ascii="宋体" w:hAnsi="宋体" w:eastAsia="宋体"/>
                <w:color w:val="000000"/>
                <w:sz w:val="20"/>
                <w:szCs w:val="20"/>
              </w:rPr>
            </w:pPr>
          </w:p>
        </w:tc>
        <w:tc>
          <w:tcPr>
            <w:tcW w:w="6033" w:type="dxa"/>
            <w:vAlign w:val="center"/>
          </w:tcPr>
          <w:p w14:paraId="7D3FF02F">
            <w:pPr>
              <w:widowControl/>
              <w:spacing w:line="240" w:lineRule="auto"/>
              <w:ind w:firstLine="0" w:firstLineChars="0"/>
              <w:jc w:val="center"/>
              <w:rPr>
                <w:rFonts w:ascii="宋体" w:hAnsi="宋体" w:eastAsia="宋体"/>
                <w:color w:val="000000"/>
                <w:sz w:val="20"/>
                <w:szCs w:val="20"/>
              </w:rPr>
            </w:pPr>
            <w:r>
              <w:rPr>
                <w:rFonts w:hint="eastAsia" w:ascii="宋体" w:hAnsi="宋体" w:eastAsia="宋体"/>
                <w:color w:val="000000"/>
                <w:sz w:val="20"/>
                <w:szCs w:val="20"/>
              </w:rPr>
              <w:t>《绵竹市征地拆迁监督管理办法》</w:t>
            </w:r>
          </w:p>
        </w:tc>
      </w:tr>
      <w:tr w14:paraId="47A0D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Merge w:val="continue"/>
            <w:vAlign w:val="center"/>
          </w:tcPr>
          <w:p w14:paraId="0705DD4D">
            <w:pPr>
              <w:widowControl/>
              <w:spacing w:line="240" w:lineRule="auto"/>
              <w:ind w:firstLine="0" w:firstLineChars="0"/>
              <w:jc w:val="center"/>
              <w:rPr>
                <w:rFonts w:ascii="宋体" w:hAnsi="宋体" w:eastAsia="宋体"/>
                <w:color w:val="000000"/>
                <w:sz w:val="20"/>
                <w:szCs w:val="20"/>
              </w:rPr>
            </w:pPr>
          </w:p>
        </w:tc>
        <w:tc>
          <w:tcPr>
            <w:tcW w:w="6033" w:type="dxa"/>
            <w:vAlign w:val="center"/>
          </w:tcPr>
          <w:p w14:paraId="07078C5F">
            <w:pPr>
              <w:widowControl/>
              <w:spacing w:line="240" w:lineRule="auto"/>
              <w:ind w:firstLine="0" w:firstLineChars="0"/>
              <w:jc w:val="center"/>
              <w:rPr>
                <w:rFonts w:ascii="宋体" w:hAnsi="宋体" w:eastAsia="宋体"/>
                <w:color w:val="000000"/>
                <w:sz w:val="20"/>
                <w:szCs w:val="20"/>
              </w:rPr>
            </w:pPr>
            <w:r>
              <w:rPr>
                <w:rFonts w:hint="eastAsia" w:ascii="宋体" w:hAnsi="宋体" w:eastAsia="宋体"/>
                <w:color w:val="000000"/>
                <w:sz w:val="20"/>
                <w:szCs w:val="20"/>
              </w:rPr>
              <w:t>《绵竹市土地收购储备管理实施细则》</w:t>
            </w:r>
          </w:p>
        </w:tc>
      </w:tr>
      <w:tr w14:paraId="4013C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Merge w:val="continue"/>
            <w:vAlign w:val="center"/>
          </w:tcPr>
          <w:p w14:paraId="7F87B187">
            <w:pPr>
              <w:widowControl/>
              <w:spacing w:line="240" w:lineRule="auto"/>
              <w:ind w:firstLine="0" w:firstLineChars="0"/>
              <w:jc w:val="center"/>
              <w:rPr>
                <w:rFonts w:ascii="宋体" w:hAnsi="宋体" w:eastAsia="宋体"/>
                <w:color w:val="000000"/>
                <w:sz w:val="20"/>
                <w:szCs w:val="20"/>
              </w:rPr>
            </w:pPr>
          </w:p>
        </w:tc>
        <w:tc>
          <w:tcPr>
            <w:tcW w:w="6033" w:type="dxa"/>
            <w:vAlign w:val="center"/>
          </w:tcPr>
          <w:p w14:paraId="13B273DE">
            <w:pPr>
              <w:widowControl/>
              <w:spacing w:line="240" w:lineRule="auto"/>
              <w:ind w:firstLine="0" w:firstLineChars="0"/>
              <w:jc w:val="center"/>
              <w:rPr>
                <w:rFonts w:ascii="宋体" w:hAnsi="宋体" w:eastAsia="宋体"/>
                <w:color w:val="000000"/>
                <w:sz w:val="20"/>
                <w:szCs w:val="20"/>
              </w:rPr>
            </w:pPr>
            <w:r>
              <w:rPr>
                <w:rFonts w:hint="eastAsia" w:ascii="宋体" w:hAnsi="宋体" w:eastAsia="宋体"/>
                <w:color w:val="000000"/>
                <w:sz w:val="20"/>
                <w:szCs w:val="20"/>
              </w:rPr>
              <w:t>《绵竹市地质灾害防治工程建设项目和资金管理制度》</w:t>
            </w:r>
          </w:p>
        </w:tc>
      </w:tr>
      <w:tr w14:paraId="11AE5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Merge w:val="continue"/>
            <w:vAlign w:val="center"/>
          </w:tcPr>
          <w:p w14:paraId="52CB66F3">
            <w:pPr>
              <w:widowControl/>
              <w:spacing w:line="240" w:lineRule="auto"/>
              <w:ind w:firstLine="0" w:firstLineChars="0"/>
              <w:jc w:val="center"/>
              <w:rPr>
                <w:rFonts w:ascii="宋体" w:hAnsi="宋体" w:eastAsia="宋体"/>
                <w:color w:val="000000"/>
                <w:sz w:val="20"/>
                <w:szCs w:val="20"/>
              </w:rPr>
            </w:pPr>
          </w:p>
        </w:tc>
        <w:tc>
          <w:tcPr>
            <w:tcW w:w="6033" w:type="dxa"/>
            <w:vAlign w:val="center"/>
          </w:tcPr>
          <w:p w14:paraId="60394F91">
            <w:pPr>
              <w:widowControl/>
              <w:spacing w:line="240" w:lineRule="auto"/>
              <w:ind w:firstLine="0" w:firstLineChars="0"/>
              <w:jc w:val="center"/>
              <w:rPr>
                <w:rFonts w:ascii="宋体" w:hAnsi="宋体" w:eastAsia="宋体"/>
                <w:color w:val="000000"/>
                <w:sz w:val="20"/>
                <w:szCs w:val="20"/>
              </w:rPr>
            </w:pPr>
            <w:r>
              <w:rPr>
                <w:rFonts w:hint="eastAsia" w:ascii="宋体" w:hAnsi="宋体" w:eastAsia="宋体"/>
                <w:color w:val="000000"/>
                <w:sz w:val="20"/>
                <w:szCs w:val="20"/>
              </w:rPr>
              <w:t>《绵竹市土地整治、挂钩试点项目监督管理办法》</w:t>
            </w:r>
          </w:p>
        </w:tc>
      </w:tr>
      <w:tr w14:paraId="008DD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Align w:val="center"/>
          </w:tcPr>
          <w:p w14:paraId="697E1C25">
            <w:pPr>
              <w:widowControl/>
              <w:spacing w:line="240" w:lineRule="auto"/>
              <w:ind w:firstLine="0" w:firstLineChars="0"/>
              <w:jc w:val="center"/>
              <w:rPr>
                <w:rFonts w:ascii="宋体" w:hAnsi="宋体" w:eastAsia="宋体"/>
                <w:color w:val="000000"/>
                <w:sz w:val="20"/>
                <w:szCs w:val="20"/>
              </w:rPr>
            </w:pPr>
            <w:r>
              <w:rPr>
                <w:rFonts w:hint="eastAsia" w:ascii="宋体" w:hAnsi="宋体" w:eastAsia="宋体"/>
                <w:color w:val="000000"/>
                <w:sz w:val="20"/>
                <w:szCs w:val="20"/>
              </w:rPr>
              <w:t>自然资源和规划局</w:t>
            </w:r>
          </w:p>
        </w:tc>
        <w:tc>
          <w:tcPr>
            <w:tcW w:w="6033" w:type="dxa"/>
            <w:vAlign w:val="center"/>
          </w:tcPr>
          <w:p w14:paraId="260A9F4B">
            <w:pPr>
              <w:widowControl/>
              <w:spacing w:line="240" w:lineRule="auto"/>
              <w:ind w:firstLine="0" w:firstLineChars="0"/>
              <w:jc w:val="center"/>
              <w:rPr>
                <w:rFonts w:ascii="宋体" w:hAnsi="宋体" w:eastAsia="宋体"/>
                <w:color w:val="000000"/>
                <w:sz w:val="20"/>
                <w:szCs w:val="20"/>
              </w:rPr>
            </w:pPr>
            <w:r>
              <w:rPr>
                <w:rFonts w:hint="eastAsia" w:ascii="宋体" w:hAnsi="宋体" w:eastAsia="宋体"/>
                <w:color w:val="000000"/>
                <w:sz w:val="20"/>
                <w:szCs w:val="20"/>
              </w:rPr>
              <w:t>《绵竹市自然资源和规划局政府采购内部控制管理制度》</w:t>
            </w:r>
          </w:p>
        </w:tc>
      </w:tr>
    </w:tbl>
    <w:p w14:paraId="5B8A1FF5">
      <w:pPr>
        <w:widowControl/>
        <w:spacing w:line="240" w:lineRule="auto"/>
        <w:ind w:firstLine="0" w:firstLineChars="0"/>
        <w:jc w:val="center"/>
        <w:rPr>
          <w:rFonts w:ascii="宋体" w:hAnsi="宋体" w:eastAsia="宋体"/>
          <w:color w:val="000000"/>
          <w:sz w:val="20"/>
          <w:szCs w:val="20"/>
        </w:rPr>
      </w:pPr>
    </w:p>
    <w:p w14:paraId="5CF8E7EC">
      <w:pPr>
        <w:ind w:firstLine="640"/>
        <w:rPr>
          <w:rFonts w:eastAsia="仿宋_GB2312" w:cs="Times New Roman"/>
          <w:sz w:val="32"/>
          <w:szCs w:val="24"/>
        </w:rPr>
      </w:pPr>
      <w:r>
        <w:rPr>
          <w:rFonts w:hint="eastAsia" w:eastAsia="仿宋_GB2312" w:cs="Times New Roman"/>
          <w:sz w:val="32"/>
          <w:szCs w:val="24"/>
        </w:rPr>
        <w:t>2．资金使用合规性</w:t>
      </w:r>
    </w:p>
    <w:p w14:paraId="53E63FF2">
      <w:pPr>
        <w:ind w:firstLine="640"/>
        <w:rPr>
          <w:rFonts w:eastAsia="仿宋_GB2312" w:cs="Times New Roman"/>
          <w:sz w:val="32"/>
          <w:szCs w:val="24"/>
        </w:rPr>
      </w:pPr>
      <w:r>
        <w:rPr>
          <w:rFonts w:hint="eastAsia" w:eastAsia="仿宋_GB2312" w:cs="Times New Roman"/>
          <w:sz w:val="32"/>
          <w:szCs w:val="24"/>
        </w:rPr>
        <w:t>资金使用合规性权重</w:t>
      </w:r>
      <w:r>
        <w:rPr>
          <w:rFonts w:eastAsia="仿宋_GB2312" w:cs="Times New Roman"/>
          <w:sz w:val="32"/>
          <w:szCs w:val="24"/>
        </w:rPr>
        <w:t>1.00</w:t>
      </w:r>
      <w:r>
        <w:rPr>
          <w:rFonts w:hint="eastAsia" w:eastAsia="仿宋_GB2312" w:cs="Times New Roman"/>
          <w:sz w:val="32"/>
          <w:szCs w:val="24"/>
        </w:rPr>
        <w:t>分，实际得分1</w:t>
      </w:r>
      <w:r>
        <w:rPr>
          <w:rFonts w:eastAsia="仿宋_GB2312" w:cs="Times New Roman"/>
          <w:sz w:val="32"/>
          <w:szCs w:val="24"/>
        </w:rPr>
        <w:t>.00</w:t>
      </w:r>
      <w:r>
        <w:rPr>
          <w:rFonts w:hint="eastAsia" w:eastAsia="仿宋_GB2312" w:cs="Times New Roman"/>
          <w:sz w:val="32"/>
          <w:szCs w:val="24"/>
        </w:rPr>
        <w:t>分，得分率</w:t>
      </w:r>
      <w:r>
        <w:rPr>
          <w:rFonts w:eastAsia="仿宋_GB2312" w:cs="Times New Roman"/>
          <w:sz w:val="32"/>
          <w:szCs w:val="24"/>
        </w:rPr>
        <w:t>100</w:t>
      </w:r>
      <w:r>
        <w:rPr>
          <w:rFonts w:hint="eastAsia" w:eastAsia="仿宋_GB2312" w:cs="Times New Roman"/>
          <w:sz w:val="32"/>
          <w:szCs w:val="24"/>
        </w:rPr>
        <w:t>%。资金拨付的审批程序与手续完整，项目的重大开支经过评估论证，符合国家财经法规和财务管理制度规定，故未扣分。</w:t>
      </w:r>
    </w:p>
    <w:p w14:paraId="43300061">
      <w:pPr>
        <w:ind w:firstLine="640"/>
        <w:rPr>
          <w:rFonts w:eastAsia="仿宋_GB2312" w:cs="Times New Roman"/>
          <w:sz w:val="32"/>
          <w:szCs w:val="24"/>
        </w:rPr>
      </w:pPr>
      <w:r>
        <w:rPr>
          <w:rFonts w:hint="eastAsia" w:eastAsia="仿宋_GB2312" w:cs="Times New Roman"/>
          <w:sz w:val="32"/>
          <w:szCs w:val="24"/>
        </w:rPr>
        <w:t>3．财务监控有效性</w:t>
      </w:r>
    </w:p>
    <w:p w14:paraId="238B5E6F">
      <w:pPr>
        <w:ind w:firstLine="640"/>
        <w:rPr>
          <w:rFonts w:eastAsia="仿宋_GB2312" w:cs="Times New Roman"/>
          <w:sz w:val="32"/>
          <w:szCs w:val="24"/>
        </w:rPr>
      </w:pPr>
      <w:r>
        <w:rPr>
          <w:rFonts w:hint="eastAsia" w:eastAsia="仿宋_GB2312" w:cs="Times New Roman"/>
          <w:sz w:val="32"/>
          <w:szCs w:val="24"/>
        </w:rPr>
        <w:t>财务监控有效性权重2</w:t>
      </w:r>
      <w:r>
        <w:rPr>
          <w:rFonts w:eastAsia="仿宋_GB2312" w:cs="Times New Roman"/>
          <w:sz w:val="32"/>
          <w:szCs w:val="24"/>
        </w:rPr>
        <w:t>.00</w:t>
      </w:r>
      <w:r>
        <w:rPr>
          <w:rFonts w:hint="eastAsia" w:eastAsia="仿宋_GB2312" w:cs="Times New Roman"/>
          <w:sz w:val="32"/>
          <w:szCs w:val="24"/>
        </w:rPr>
        <w:t>分，实际得分</w:t>
      </w:r>
      <w:r>
        <w:rPr>
          <w:rFonts w:eastAsia="仿宋_GB2312" w:cs="Times New Roman"/>
          <w:sz w:val="32"/>
          <w:szCs w:val="24"/>
        </w:rPr>
        <w:t>1.00</w:t>
      </w:r>
      <w:r>
        <w:rPr>
          <w:rFonts w:hint="eastAsia" w:eastAsia="仿宋_GB2312" w:cs="Times New Roman"/>
          <w:sz w:val="32"/>
          <w:szCs w:val="24"/>
        </w:rPr>
        <w:t>分，得分率5</w:t>
      </w:r>
      <w:r>
        <w:rPr>
          <w:rFonts w:eastAsia="仿宋_GB2312" w:cs="Times New Roman"/>
          <w:sz w:val="32"/>
          <w:szCs w:val="24"/>
        </w:rPr>
        <w:t>0.00</w:t>
      </w:r>
      <w:r>
        <w:rPr>
          <w:rFonts w:hint="eastAsia" w:eastAsia="仿宋_GB2312" w:cs="Times New Roman"/>
          <w:sz w:val="32"/>
          <w:szCs w:val="24"/>
        </w:rPr>
        <w:t>%。绵竹市自然资源和规划局采用原国土资源管理局的规章制度进行内部管理，未对下属单位、分配的专项资金制定明确的财务监控监督措施，故扣1</w:t>
      </w:r>
      <w:r>
        <w:rPr>
          <w:rFonts w:eastAsia="仿宋_GB2312" w:cs="Times New Roman"/>
          <w:sz w:val="32"/>
          <w:szCs w:val="24"/>
        </w:rPr>
        <w:t>.00</w:t>
      </w:r>
      <w:r>
        <w:rPr>
          <w:rFonts w:hint="eastAsia" w:eastAsia="仿宋_GB2312" w:cs="Times New Roman"/>
          <w:sz w:val="32"/>
          <w:szCs w:val="24"/>
        </w:rPr>
        <w:t>分。</w:t>
      </w:r>
    </w:p>
    <w:p w14:paraId="34B28FF5">
      <w:pPr>
        <w:pStyle w:val="3"/>
        <w:ind w:firstLine="643" w:firstLineChars="200"/>
        <w:jc w:val="both"/>
        <w:rPr>
          <w:rFonts w:eastAsia="楷体_GB2312" w:cs="Times New Roman"/>
          <w:sz w:val="32"/>
        </w:rPr>
      </w:pPr>
      <w:bookmarkStart w:id="24" w:name="_Toc77784246"/>
      <w:r>
        <w:rPr>
          <w:rFonts w:hint="eastAsia" w:eastAsia="楷体_GB2312" w:cs="Times New Roman"/>
          <w:sz w:val="32"/>
        </w:rPr>
        <w:t>（二）行政成本</w:t>
      </w:r>
      <w:bookmarkEnd w:id="24"/>
    </w:p>
    <w:p w14:paraId="4149765B">
      <w:pPr>
        <w:ind w:firstLine="640"/>
        <w:rPr>
          <w:rFonts w:eastAsia="仿宋_GB2312" w:cs="Times New Roman"/>
          <w:sz w:val="32"/>
          <w:szCs w:val="24"/>
        </w:rPr>
      </w:pPr>
      <w:r>
        <w:rPr>
          <w:rFonts w:hint="eastAsia" w:eastAsia="仿宋_GB2312" w:cs="Times New Roman"/>
          <w:sz w:val="32"/>
          <w:szCs w:val="24"/>
        </w:rPr>
        <w:t>行政成本下设“三公”经费控制1项三级指标，“三公”经费控制权重1</w:t>
      </w:r>
      <w:r>
        <w:rPr>
          <w:rFonts w:eastAsia="仿宋_GB2312" w:cs="Times New Roman"/>
          <w:sz w:val="32"/>
          <w:szCs w:val="24"/>
        </w:rPr>
        <w:t>.00</w:t>
      </w:r>
      <w:r>
        <w:rPr>
          <w:rFonts w:hint="eastAsia" w:eastAsia="仿宋_GB2312" w:cs="Times New Roman"/>
          <w:sz w:val="32"/>
          <w:szCs w:val="24"/>
        </w:rPr>
        <w:t>分，得分1</w:t>
      </w:r>
      <w:r>
        <w:rPr>
          <w:rFonts w:eastAsia="仿宋_GB2312" w:cs="Times New Roman"/>
          <w:sz w:val="32"/>
          <w:szCs w:val="24"/>
        </w:rPr>
        <w:t>.00</w:t>
      </w:r>
      <w:r>
        <w:rPr>
          <w:rFonts w:hint="eastAsia" w:eastAsia="仿宋_GB2312" w:cs="Times New Roman"/>
          <w:sz w:val="32"/>
          <w:szCs w:val="24"/>
        </w:rPr>
        <w:t>分，得分率1</w:t>
      </w:r>
      <w:r>
        <w:rPr>
          <w:rFonts w:eastAsia="仿宋_GB2312" w:cs="Times New Roman"/>
          <w:sz w:val="32"/>
          <w:szCs w:val="24"/>
        </w:rPr>
        <w:t>00%</w:t>
      </w:r>
      <w:r>
        <w:rPr>
          <w:rFonts w:hint="eastAsia" w:eastAsia="仿宋_GB2312" w:cs="Times New Roman"/>
          <w:sz w:val="32"/>
          <w:szCs w:val="24"/>
        </w:rPr>
        <w:t>。2</w:t>
      </w:r>
      <w:r>
        <w:rPr>
          <w:rFonts w:eastAsia="仿宋_GB2312" w:cs="Times New Roman"/>
          <w:sz w:val="32"/>
          <w:szCs w:val="24"/>
        </w:rPr>
        <w:t>020</w:t>
      </w:r>
      <w:r>
        <w:rPr>
          <w:rFonts w:hint="eastAsia" w:eastAsia="仿宋_GB2312" w:cs="Times New Roman"/>
          <w:sz w:val="32"/>
          <w:szCs w:val="24"/>
        </w:rPr>
        <w:t>年绵竹市自然资源和规划局部门“三公”经费预算4</w:t>
      </w:r>
      <w:r>
        <w:rPr>
          <w:rFonts w:eastAsia="仿宋_GB2312" w:cs="Times New Roman"/>
          <w:sz w:val="32"/>
          <w:szCs w:val="24"/>
        </w:rPr>
        <w:t>5</w:t>
      </w:r>
      <w:r>
        <w:rPr>
          <w:rFonts w:hint="eastAsia" w:eastAsia="仿宋_GB2312" w:cs="Times New Roman"/>
          <w:sz w:val="32"/>
          <w:szCs w:val="24"/>
        </w:rPr>
        <w:t>万，决算2</w:t>
      </w:r>
      <w:r>
        <w:rPr>
          <w:rFonts w:eastAsia="仿宋_GB2312" w:cs="Times New Roman"/>
          <w:sz w:val="32"/>
          <w:szCs w:val="24"/>
        </w:rPr>
        <w:t>4</w:t>
      </w:r>
      <w:r>
        <w:rPr>
          <w:rFonts w:hint="eastAsia" w:eastAsia="仿宋_GB2312" w:cs="Times New Roman"/>
          <w:sz w:val="32"/>
          <w:szCs w:val="24"/>
        </w:rPr>
        <w:t>万，降幅4</w:t>
      </w:r>
      <w:r>
        <w:rPr>
          <w:rFonts w:eastAsia="仿宋_GB2312" w:cs="Times New Roman"/>
          <w:sz w:val="32"/>
          <w:szCs w:val="24"/>
        </w:rPr>
        <w:t>6.67</w:t>
      </w:r>
      <w:r>
        <w:rPr>
          <w:rFonts w:hint="eastAsia" w:eastAsia="仿宋_GB2312" w:cs="Times New Roman"/>
          <w:sz w:val="32"/>
          <w:szCs w:val="24"/>
        </w:rPr>
        <w:t>%，行政成本控制良好，故未扣分。</w:t>
      </w:r>
    </w:p>
    <w:p w14:paraId="3A4E5E6B">
      <w:pPr>
        <w:pStyle w:val="3"/>
        <w:ind w:firstLine="643" w:firstLineChars="200"/>
        <w:jc w:val="both"/>
        <w:rPr>
          <w:rFonts w:eastAsia="楷体_GB2312" w:cs="Times New Roman"/>
          <w:sz w:val="32"/>
        </w:rPr>
      </w:pPr>
      <w:bookmarkStart w:id="25" w:name="_Toc77784247"/>
      <w:r>
        <w:rPr>
          <w:rFonts w:hint="eastAsia" w:eastAsia="楷体_GB2312" w:cs="Times New Roman"/>
          <w:sz w:val="32"/>
        </w:rPr>
        <w:t>（三）政府采购</w:t>
      </w:r>
      <w:bookmarkEnd w:id="25"/>
    </w:p>
    <w:p w14:paraId="6B891525">
      <w:pPr>
        <w:ind w:firstLine="640"/>
        <w:rPr>
          <w:rFonts w:eastAsia="仿宋_GB2312" w:cs="Times New Roman"/>
          <w:sz w:val="32"/>
          <w:szCs w:val="24"/>
        </w:rPr>
      </w:pPr>
      <w:r>
        <w:rPr>
          <w:rFonts w:hint="eastAsia" w:eastAsia="仿宋_GB2312" w:cs="Times New Roman"/>
          <w:sz w:val="32"/>
          <w:szCs w:val="24"/>
        </w:rPr>
        <w:t>政府采购下设采购规范性1项三级指标，采购规范性权重1</w:t>
      </w:r>
      <w:r>
        <w:rPr>
          <w:rFonts w:eastAsia="仿宋_GB2312" w:cs="Times New Roman"/>
          <w:sz w:val="32"/>
          <w:szCs w:val="24"/>
        </w:rPr>
        <w:t>.00</w:t>
      </w:r>
      <w:r>
        <w:rPr>
          <w:rFonts w:hint="eastAsia" w:eastAsia="仿宋_GB2312" w:cs="Times New Roman"/>
          <w:sz w:val="32"/>
          <w:szCs w:val="24"/>
        </w:rPr>
        <w:t>分，得分0</w:t>
      </w:r>
      <w:r>
        <w:rPr>
          <w:rFonts w:eastAsia="仿宋_GB2312" w:cs="Times New Roman"/>
          <w:sz w:val="32"/>
          <w:szCs w:val="24"/>
        </w:rPr>
        <w:t>.50</w:t>
      </w:r>
      <w:r>
        <w:rPr>
          <w:rFonts w:hint="eastAsia" w:eastAsia="仿宋_GB2312" w:cs="Times New Roman"/>
          <w:sz w:val="32"/>
          <w:szCs w:val="24"/>
        </w:rPr>
        <w:t>分，得分率5</w:t>
      </w:r>
      <w:r>
        <w:rPr>
          <w:rFonts w:eastAsia="仿宋_GB2312" w:cs="Times New Roman"/>
          <w:sz w:val="32"/>
          <w:szCs w:val="24"/>
        </w:rPr>
        <w:t>0.00%</w:t>
      </w:r>
      <w:r>
        <w:rPr>
          <w:rFonts w:hint="eastAsia" w:eastAsia="仿宋_GB2312" w:cs="Times New Roman"/>
          <w:sz w:val="32"/>
          <w:szCs w:val="24"/>
        </w:rPr>
        <w:t>。抽查项目中，绵竹市森林防火经费中短视频制作通过电话询价的方式确定供应商，缺少相关的过程性文件，故扣0</w:t>
      </w:r>
      <w:r>
        <w:rPr>
          <w:rFonts w:eastAsia="仿宋_GB2312" w:cs="Times New Roman"/>
          <w:sz w:val="32"/>
          <w:szCs w:val="24"/>
        </w:rPr>
        <w:t>.50</w:t>
      </w:r>
      <w:r>
        <w:rPr>
          <w:rFonts w:hint="eastAsia" w:eastAsia="仿宋_GB2312" w:cs="Times New Roman"/>
          <w:sz w:val="32"/>
          <w:szCs w:val="24"/>
        </w:rPr>
        <w:t>分。</w:t>
      </w:r>
    </w:p>
    <w:p w14:paraId="04FD2A53">
      <w:pPr>
        <w:pStyle w:val="3"/>
        <w:ind w:firstLine="643" w:firstLineChars="200"/>
        <w:jc w:val="both"/>
        <w:rPr>
          <w:rFonts w:eastAsia="楷体_GB2312" w:cs="Times New Roman"/>
          <w:sz w:val="32"/>
        </w:rPr>
      </w:pPr>
      <w:bookmarkStart w:id="26" w:name="_Toc77784248"/>
      <w:r>
        <w:rPr>
          <w:rFonts w:hint="eastAsia" w:eastAsia="楷体_GB2312" w:cs="Times New Roman"/>
          <w:sz w:val="32"/>
        </w:rPr>
        <w:t>（四）资产管理</w:t>
      </w:r>
      <w:bookmarkEnd w:id="26"/>
    </w:p>
    <w:p w14:paraId="7F4D6B9E">
      <w:pPr>
        <w:ind w:firstLine="640"/>
        <w:rPr>
          <w:rFonts w:eastAsia="仿宋_GB2312" w:cs="Times New Roman"/>
          <w:sz w:val="32"/>
          <w:szCs w:val="24"/>
        </w:rPr>
      </w:pPr>
      <w:r>
        <w:rPr>
          <w:rFonts w:hint="eastAsia" w:eastAsia="仿宋_GB2312" w:cs="Times New Roman"/>
          <w:sz w:val="32"/>
          <w:szCs w:val="24"/>
        </w:rPr>
        <w:t>资产管理下设固定资产在用率1项三级指标，固定资产在用率权重</w:t>
      </w:r>
      <w:r>
        <w:rPr>
          <w:rFonts w:eastAsia="仿宋_GB2312" w:cs="Times New Roman"/>
          <w:sz w:val="32"/>
          <w:szCs w:val="24"/>
        </w:rPr>
        <w:t>2.00</w:t>
      </w:r>
      <w:r>
        <w:rPr>
          <w:rFonts w:hint="eastAsia" w:eastAsia="仿宋_GB2312" w:cs="Times New Roman"/>
          <w:sz w:val="32"/>
          <w:szCs w:val="24"/>
        </w:rPr>
        <w:t>分，得分</w:t>
      </w:r>
      <w:r>
        <w:rPr>
          <w:rFonts w:eastAsia="仿宋_GB2312" w:cs="Times New Roman"/>
          <w:sz w:val="32"/>
          <w:szCs w:val="24"/>
        </w:rPr>
        <w:t>2.00</w:t>
      </w:r>
      <w:r>
        <w:rPr>
          <w:rFonts w:hint="eastAsia" w:eastAsia="仿宋_GB2312" w:cs="Times New Roman"/>
          <w:sz w:val="32"/>
          <w:szCs w:val="24"/>
        </w:rPr>
        <w:t>分，得分率</w:t>
      </w:r>
      <w:r>
        <w:rPr>
          <w:rFonts w:eastAsia="仿宋_GB2312" w:cs="Times New Roman"/>
          <w:sz w:val="32"/>
          <w:szCs w:val="24"/>
        </w:rPr>
        <w:t>100</w:t>
      </w:r>
      <w:r>
        <w:rPr>
          <w:rFonts w:hint="eastAsia" w:eastAsia="仿宋_GB2312" w:cs="Times New Roman"/>
          <w:sz w:val="32"/>
          <w:szCs w:val="24"/>
        </w:rPr>
        <w:t>.</w:t>
      </w:r>
      <w:r>
        <w:rPr>
          <w:rFonts w:eastAsia="仿宋_GB2312" w:cs="Times New Roman"/>
          <w:sz w:val="32"/>
          <w:szCs w:val="24"/>
        </w:rPr>
        <w:t>00</w:t>
      </w:r>
      <w:r>
        <w:rPr>
          <w:rFonts w:hint="eastAsia" w:eastAsia="仿宋_GB2312" w:cs="Times New Roman"/>
          <w:sz w:val="32"/>
          <w:szCs w:val="24"/>
        </w:rPr>
        <w:t>%。绵竹市自然资源和规划局固定资产在用率1</w:t>
      </w:r>
      <w:r>
        <w:rPr>
          <w:rFonts w:eastAsia="仿宋_GB2312" w:cs="Times New Roman"/>
          <w:sz w:val="32"/>
          <w:szCs w:val="24"/>
        </w:rPr>
        <w:t>00.00</w:t>
      </w:r>
      <w:r>
        <w:rPr>
          <w:rFonts w:hint="eastAsia" w:eastAsia="仿宋_GB2312" w:cs="Times New Roman"/>
          <w:sz w:val="32"/>
          <w:szCs w:val="24"/>
        </w:rPr>
        <w:t>%，故未扣分。</w:t>
      </w:r>
    </w:p>
    <w:p w14:paraId="582698D0">
      <w:pPr>
        <w:pStyle w:val="3"/>
        <w:ind w:firstLine="643" w:firstLineChars="200"/>
        <w:jc w:val="both"/>
        <w:rPr>
          <w:rFonts w:eastAsia="楷体_GB2312" w:cs="Times New Roman"/>
          <w:sz w:val="32"/>
        </w:rPr>
      </w:pPr>
      <w:bookmarkStart w:id="27" w:name="_Toc77784249"/>
      <w:r>
        <w:rPr>
          <w:rFonts w:hint="eastAsia" w:eastAsia="楷体_GB2312" w:cs="Times New Roman"/>
          <w:sz w:val="32"/>
        </w:rPr>
        <w:t>（五）信息公开</w:t>
      </w:r>
      <w:bookmarkEnd w:id="27"/>
    </w:p>
    <w:p w14:paraId="5BC14CAF">
      <w:pPr>
        <w:pStyle w:val="6"/>
        <w:spacing w:line="560" w:lineRule="exact"/>
        <w:ind w:firstLine="640" w:firstLineChars="200"/>
        <w:jc w:val="both"/>
        <w:rPr>
          <w:rFonts w:ascii="Times New Roman" w:hAnsi="Times New Roman" w:eastAsia="仿宋_GB2312" w:cs="Times New Roman"/>
          <w:sz w:val="32"/>
        </w:rPr>
      </w:pPr>
      <w:r>
        <w:rPr>
          <w:rFonts w:hint="eastAsia" w:ascii="Times New Roman" w:hAnsi="Times New Roman" w:eastAsia="仿宋_GB2312" w:cs="Times New Roman"/>
          <w:sz w:val="32"/>
        </w:rPr>
        <w:t>信息公开下设信息公开1项三级指标，权重1</w:t>
      </w:r>
      <w:r>
        <w:rPr>
          <w:rFonts w:ascii="Times New Roman" w:hAnsi="Times New Roman" w:eastAsia="仿宋_GB2312" w:cs="Times New Roman"/>
          <w:sz w:val="32"/>
        </w:rPr>
        <w:t>.00</w:t>
      </w:r>
      <w:r>
        <w:rPr>
          <w:rFonts w:hint="eastAsia" w:ascii="Times New Roman" w:hAnsi="Times New Roman" w:eastAsia="仿宋_GB2312" w:cs="Times New Roman"/>
          <w:sz w:val="32"/>
        </w:rPr>
        <w:t>分，得分1</w:t>
      </w:r>
      <w:r>
        <w:rPr>
          <w:rFonts w:ascii="Times New Roman" w:hAnsi="Times New Roman" w:eastAsia="仿宋_GB2312" w:cs="Times New Roman"/>
          <w:sz w:val="32"/>
        </w:rPr>
        <w:t>.00</w:t>
      </w:r>
      <w:r>
        <w:rPr>
          <w:rFonts w:hint="eastAsia" w:ascii="Times New Roman" w:hAnsi="Times New Roman" w:eastAsia="仿宋_GB2312" w:cs="Times New Roman"/>
          <w:sz w:val="32"/>
        </w:rPr>
        <w:t>分，得分率1</w:t>
      </w:r>
      <w:r>
        <w:rPr>
          <w:rFonts w:ascii="Times New Roman" w:hAnsi="Times New Roman" w:eastAsia="仿宋_GB2312" w:cs="Times New Roman"/>
          <w:sz w:val="32"/>
        </w:rPr>
        <w:t>00%</w:t>
      </w:r>
      <w:r>
        <w:rPr>
          <w:rFonts w:hint="eastAsia" w:ascii="Times New Roman" w:hAnsi="Times New Roman" w:eastAsia="仿宋_GB2312" w:cs="Times New Roman"/>
          <w:sz w:val="32"/>
        </w:rPr>
        <w:t>。绵竹市自然资源和规划局于2020年5月15日在德阳市政府信息公开网站公开2020年度本部门预算，于2020年</w:t>
      </w:r>
      <w:r>
        <w:rPr>
          <w:rFonts w:ascii="Times New Roman" w:hAnsi="Times New Roman" w:eastAsia="仿宋_GB2312" w:cs="Times New Roman"/>
          <w:sz w:val="32"/>
        </w:rPr>
        <w:t>9</w:t>
      </w:r>
      <w:r>
        <w:rPr>
          <w:rFonts w:hint="eastAsia" w:ascii="Times New Roman" w:hAnsi="Times New Roman" w:eastAsia="仿宋_GB2312" w:cs="Times New Roman"/>
          <w:sz w:val="32"/>
        </w:rPr>
        <w:t>月</w:t>
      </w:r>
      <w:r>
        <w:rPr>
          <w:rFonts w:ascii="Times New Roman" w:hAnsi="Times New Roman" w:eastAsia="仿宋_GB2312" w:cs="Times New Roman"/>
          <w:sz w:val="32"/>
        </w:rPr>
        <w:t>22</w:t>
      </w:r>
      <w:r>
        <w:rPr>
          <w:rFonts w:hint="eastAsia" w:ascii="Times New Roman" w:hAnsi="Times New Roman" w:eastAsia="仿宋_GB2312" w:cs="Times New Roman"/>
          <w:sz w:val="32"/>
        </w:rPr>
        <w:t>日在德阳市政府信息公开网站公开2019年度本部门决算，故未扣分。</w:t>
      </w:r>
    </w:p>
    <w:p w14:paraId="21A7CFB6">
      <w:pPr>
        <w:pStyle w:val="2"/>
        <w:ind w:firstLine="640" w:firstLineChars="200"/>
        <w:jc w:val="both"/>
        <w:rPr>
          <w:rFonts w:cs="Times New Roman"/>
          <w:b w:val="0"/>
          <w:bCs w:val="0"/>
          <w:sz w:val="32"/>
          <w:szCs w:val="32"/>
        </w:rPr>
      </w:pPr>
      <w:bookmarkStart w:id="28" w:name="_Toc77784250"/>
      <w:r>
        <w:rPr>
          <w:rFonts w:hint="eastAsia" w:cs="Times New Roman"/>
          <w:b w:val="0"/>
          <w:bCs w:val="0"/>
          <w:sz w:val="32"/>
          <w:szCs w:val="32"/>
        </w:rPr>
        <w:t>四、部门履职效能</w:t>
      </w:r>
      <w:bookmarkEnd w:id="28"/>
    </w:p>
    <w:p w14:paraId="3DD82F71">
      <w:pPr>
        <w:pStyle w:val="3"/>
        <w:ind w:firstLine="643" w:firstLineChars="200"/>
        <w:jc w:val="both"/>
        <w:rPr>
          <w:rFonts w:eastAsia="楷体_GB2312" w:cs="Times New Roman"/>
          <w:sz w:val="32"/>
        </w:rPr>
      </w:pPr>
      <w:bookmarkStart w:id="29" w:name="_Toc77784251"/>
      <w:r>
        <w:rPr>
          <w:rFonts w:hint="eastAsia" w:eastAsia="楷体_GB2312" w:cs="Times New Roman"/>
          <w:sz w:val="32"/>
        </w:rPr>
        <w:t>（一）部门履职的总体目标</w:t>
      </w:r>
      <w:bookmarkEnd w:id="29"/>
    </w:p>
    <w:p w14:paraId="29A0CFFA">
      <w:pPr>
        <w:pStyle w:val="6"/>
        <w:spacing w:line="560" w:lineRule="exact"/>
        <w:ind w:firstLine="640" w:firstLineChars="200"/>
        <w:jc w:val="both"/>
        <w:rPr>
          <w:rFonts w:ascii="Times New Roman" w:hAnsi="Times New Roman" w:eastAsia="仿宋_GB2312" w:cs="Times New Roman"/>
          <w:sz w:val="32"/>
        </w:rPr>
      </w:pPr>
      <w:r>
        <w:rPr>
          <w:rFonts w:hint="eastAsia" w:ascii="Times New Roman" w:hAnsi="Times New Roman" w:eastAsia="仿宋_GB2312" w:cs="Times New Roman"/>
          <w:sz w:val="32"/>
        </w:rPr>
        <w:t>2020年绵竹市自然资源和规划局的年度总体目标为：按照规定权限，履行全民所有土地、矿产、森林、草原、湿地、水等自然资源资产所有者职责和所有国土空间用途管制职责；负责全市自然资源及陆生野生动植物资源调查监测评价；负责全市自然资源统一确权登记工作；负责全市自然资源资产有偿使用工作；负责全市自然资源的合理开发利用；负责建立全市空间规划体系并监督实施；负责国土空间各项建设工程的规划审批、规划管理及审批后管理和监察工作；负责统筹全市国土空间生态修复；负责组织实施最严格的耕地保护制度；负责管理全市地质勘查行业和地质工作；负责全市矿产资源管理工作；负责全市测绘地理信息的统一监督管理工作；推动全市自然资源领域科技发展和对外合作、交流；配合国家、省、市对县级政府落实党中央、国务院、省人民政府关于自然资源和国土空间规划的重大方针政策、决策部署及对法律法规执行情况进行督察；负责全市林业、草原和湿地生态保护修复工作及监督管理；组织全市造林绿化工作；负责全市森林、湿地、草原资源的监督管理；负责监督管理全市荒漠化防治工作；负责全市陆生野生动植物资源监督管理；负责监督管理全市各类自然保护地、风景名胜区、自然遗产；负责推进全市林业和草原改革相关工作；拟订全市林业和草原资源优化配置及木材利用政策，拟订相关林业产业政策并监督实施，组织、指导林草产品质量监督，指导生态扶贫相关工作；组织林木种子、草种种质资源普查，组织建立种质资源库，负责良种选育推广，管理林木种苗、草种生产经营行为，监管林木种苗、草种质量；指导全市森林公安工作，监督管理森林公安队伍，指导林业重大违法案件的查处，负责相关行政执法监管工作，指导林区社会治安治理工作；负责落实全市综合防灾减灾规划相关要求，组织编制并实施地质灾害、森林和草原火灾防治规划以及贯彻实施相关防护标准；监督管理全市林业和草原资金和国有资产，提出林业和草原预算内投资、市级以上财政性资金安排建议，按市政府规定权限，核报、核准规划内和年度计划内投资项目；负责职责范围内的安全生产和职业健康、生态环境保护、社会信用体系建设和审批服务便民化等工作。</w:t>
      </w:r>
    </w:p>
    <w:p w14:paraId="19578011">
      <w:pPr>
        <w:pStyle w:val="3"/>
        <w:ind w:firstLine="643" w:firstLineChars="200"/>
        <w:rPr>
          <w:rFonts w:eastAsia="楷体_GB2312" w:cs="Times New Roman"/>
          <w:sz w:val="32"/>
        </w:rPr>
      </w:pPr>
      <w:bookmarkStart w:id="30" w:name="_Toc73927496"/>
      <w:bookmarkStart w:id="31" w:name="_Toc73927843"/>
      <w:bookmarkStart w:id="32" w:name="_Toc77784252"/>
      <w:r>
        <w:rPr>
          <w:rFonts w:eastAsia="楷体_GB2312" w:cs="Times New Roman"/>
          <w:sz w:val="32"/>
        </w:rPr>
        <w:t>（二）重点工作任务绩效目标完成情况</w:t>
      </w:r>
      <w:bookmarkEnd w:id="30"/>
      <w:bookmarkEnd w:id="31"/>
      <w:bookmarkEnd w:id="32"/>
    </w:p>
    <w:p w14:paraId="4CD8C246">
      <w:pPr>
        <w:ind w:firstLine="640"/>
        <w:rPr>
          <w:rFonts w:eastAsia="仿宋_GB2312" w:cs="Times New Roman"/>
          <w:kern w:val="0"/>
          <w:sz w:val="32"/>
          <w:szCs w:val="32"/>
        </w:rPr>
      </w:pPr>
      <w:r>
        <w:rPr>
          <w:rFonts w:hint="eastAsia" w:eastAsia="仿宋_GB2312" w:cs="Times New Roman"/>
          <w:kern w:val="0"/>
          <w:sz w:val="32"/>
          <w:szCs w:val="32"/>
        </w:rPr>
        <w:t>2020</w:t>
      </w:r>
      <w:r>
        <w:rPr>
          <w:rFonts w:eastAsia="仿宋_GB2312" w:cs="Times New Roman"/>
          <w:kern w:val="0"/>
          <w:sz w:val="32"/>
          <w:szCs w:val="32"/>
        </w:rPr>
        <w:t>年</w:t>
      </w:r>
      <w:r>
        <w:rPr>
          <w:rFonts w:hint="eastAsia" w:eastAsia="仿宋_GB2312" w:cs="Times New Roman"/>
          <w:kern w:val="0"/>
          <w:sz w:val="32"/>
          <w:szCs w:val="32"/>
        </w:rPr>
        <w:t>绵竹市自然资源和规划局</w:t>
      </w:r>
      <w:r>
        <w:rPr>
          <w:rFonts w:eastAsia="仿宋_GB2312" w:cs="Times New Roman"/>
          <w:kern w:val="0"/>
          <w:sz w:val="32"/>
          <w:szCs w:val="32"/>
        </w:rPr>
        <w:t>重</w:t>
      </w:r>
      <w:r>
        <w:rPr>
          <w:rFonts w:hint="eastAsia" w:eastAsia="仿宋_GB2312" w:cs="Times New Roman"/>
          <w:kern w:val="0"/>
          <w:sz w:val="32"/>
          <w:szCs w:val="32"/>
        </w:rPr>
        <w:t>点</w:t>
      </w:r>
      <w:r>
        <w:rPr>
          <w:rFonts w:eastAsia="仿宋_GB2312" w:cs="Times New Roman"/>
          <w:kern w:val="0"/>
          <w:sz w:val="32"/>
          <w:szCs w:val="32"/>
        </w:rPr>
        <w:t>工作是</w:t>
      </w:r>
      <w:r>
        <w:rPr>
          <w:rFonts w:hint="eastAsia" w:eastAsia="仿宋_GB2312" w:cs="Times New Roman"/>
          <w:kern w:val="0"/>
          <w:sz w:val="32"/>
          <w:szCs w:val="32"/>
        </w:rPr>
        <w:t>廉政建设、开展不动产登记、灾害防治、绿色发展、卫片执法、开展专项整治行动</w:t>
      </w:r>
      <w:r>
        <w:rPr>
          <w:rFonts w:eastAsia="仿宋_GB2312" w:cs="Times New Roman"/>
          <w:kern w:val="0"/>
          <w:sz w:val="32"/>
          <w:szCs w:val="32"/>
        </w:rPr>
        <w:t>等，其年度重点工作基本完成。</w:t>
      </w:r>
    </w:p>
    <w:p w14:paraId="32A1D6D1">
      <w:pPr>
        <w:ind w:firstLine="640"/>
        <w:rPr>
          <w:rFonts w:eastAsia="仿宋_GB2312" w:cs="Times New Roman"/>
          <w:kern w:val="0"/>
          <w:sz w:val="32"/>
          <w:szCs w:val="32"/>
        </w:rPr>
      </w:pPr>
      <w:r>
        <w:rPr>
          <w:rFonts w:hint="eastAsia" w:eastAsia="仿宋_GB2312" w:cs="Times New Roman"/>
          <w:kern w:val="0"/>
          <w:sz w:val="32"/>
          <w:szCs w:val="32"/>
        </w:rPr>
        <w:t>在部门履职效能指标上，设定不动产登记、灾害防治、统筹用地、绿色发展、卫片执法、廉政建设与意识形态工作、土地基金收入、专项整治</w:t>
      </w:r>
      <w:r>
        <w:rPr>
          <w:rFonts w:eastAsia="仿宋_GB2312" w:cs="Times New Roman"/>
          <w:kern w:val="0"/>
          <w:sz w:val="32"/>
          <w:szCs w:val="32"/>
        </w:rPr>
        <w:t>8</w:t>
      </w:r>
      <w:r>
        <w:rPr>
          <w:rFonts w:hint="eastAsia" w:eastAsia="仿宋_GB2312" w:cs="Times New Roman"/>
          <w:kern w:val="0"/>
          <w:sz w:val="32"/>
          <w:szCs w:val="32"/>
        </w:rPr>
        <w:t>个二级指标，其中不动产登记、灾害防治、统筹用地、卫片执法、廉政建设与意识形态工作、土地基金收入、专项整治方面的相关任务都按计划完成，绿色发展任务中的永久基本农田划定成果核实整改和开展大规模绿化行动未按照计划完成相关工作。</w:t>
      </w:r>
    </w:p>
    <w:p w14:paraId="05BACC2C">
      <w:pPr>
        <w:ind w:firstLine="0" w:firstLineChars="0"/>
        <w:jc w:val="center"/>
        <w:rPr>
          <w:rFonts w:ascii="幼圆" w:eastAsia="幼圆"/>
          <w:b/>
          <w:bCs/>
        </w:rPr>
      </w:pPr>
      <w:r>
        <w:rPr>
          <w:rFonts w:hint="eastAsia" w:ascii="幼圆" w:eastAsia="幼圆"/>
          <w:b/>
          <w:bCs/>
        </w:rPr>
        <w:t>附表 履职效能指标得分情况</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3"/>
        <w:gridCol w:w="1444"/>
        <w:gridCol w:w="3333"/>
        <w:gridCol w:w="976"/>
        <w:gridCol w:w="682"/>
        <w:gridCol w:w="934"/>
      </w:tblGrid>
      <w:tr w14:paraId="75390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blHeader/>
          <w:jc w:val="center"/>
        </w:trPr>
        <w:tc>
          <w:tcPr>
            <w:tcW w:w="677" w:type="pct"/>
            <w:shd w:val="clear" w:color="000000" w:fill="00516B"/>
            <w:vAlign w:val="center"/>
          </w:tcPr>
          <w:p w14:paraId="6A3768F5">
            <w:pPr>
              <w:widowControl/>
              <w:spacing w:line="240" w:lineRule="auto"/>
              <w:ind w:firstLine="0" w:firstLineChars="0"/>
              <w:jc w:val="center"/>
              <w:rPr>
                <w:rFonts w:eastAsia="宋体" w:cs="Times New Roman"/>
                <w:b/>
                <w:bCs/>
                <w:color w:val="FFFFFF"/>
                <w:sz w:val="20"/>
                <w:szCs w:val="20"/>
              </w:rPr>
            </w:pPr>
            <w:r>
              <w:rPr>
                <w:rFonts w:eastAsia="宋体" w:cs="Times New Roman"/>
                <w:b/>
                <w:bCs/>
                <w:color w:val="FFFFFF"/>
                <w:sz w:val="20"/>
                <w:szCs w:val="20"/>
              </w:rPr>
              <w:t>一级指标</w:t>
            </w:r>
          </w:p>
        </w:tc>
        <w:tc>
          <w:tcPr>
            <w:tcW w:w="848" w:type="pct"/>
            <w:shd w:val="clear" w:color="000000" w:fill="00516B"/>
            <w:vAlign w:val="center"/>
          </w:tcPr>
          <w:p w14:paraId="6AC268F3">
            <w:pPr>
              <w:widowControl/>
              <w:spacing w:line="240" w:lineRule="auto"/>
              <w:ind w:firstLine="0" w:firstLineChars="0"/>
              <w:jc w:val="center"/>
              <w:rPr>
                <w:rFonts w:eastAsia="宋体" w:cs="Times New Roman"/>
                <w:b/>
                <w:bCs/>
                <w:color w:val="FFFFFF"/>
                <w:sz w:val="20"/>
                <w:szCs w:val="20"/>
              </w:rPr>
            </w:pPr>
            <w:r>
              <w:rPr>
                <w:rFonts w:eastAsia="宋体" w:cs="Times New Roman"/>
                <w:b/>
                <w:bCs/>
                <w:color w:val="FFFFFF"/>
                <w:sz w:val="20"/>
                <w:szCs w:val="20"/>
              </w:rPr>
              <w:t>二级指标</w:t>
            </w:r>
          </w:p>
        </w:tc>
        <w:tc>
          <w:tcPr>
            <w:tcW w:w="1956" w:type="pct"/>
            <w:shd w:val="clear" w:color="000000" w:fill="00516B"/>
            <w:vAlign w:val="center"/>
          </w:tcPr>
          <w:p w14:paraId="3F412C56">
            <w:pPr>
              <w:widowControl/>
              <w:spacing w:line="240" w:lineRule="auto"/>
              <w:ind w:firstLine="0" w:firstLineChars="0"/>
              <w:jc w:val="center"/>
              <w:rPr>
                <w:rFonts w:eastAsia="宋体" w:cs="Times New Roman"/>
                <w:b/>
                <w:bCs/>
                <w:color w:val="FFFFFF"/>
                <w:sz w:val="20"/>
                <w:szCs w:val="20"/>
              </w:rPr>
            </w:pPr>
            <w:r>
              <w:rPr>
                <w:rFonts w:eastAsia="宋体" w:cs="Times New Roman"/>
                <w:b/>
                <w:bCs/>
                <w:color w:val="FFFFFF"/>
                <w:sz w:val="20"/>
                <w:szCs w:val="20"/>
              </w:rPr>
              <w:t>三级指标</w:t>
            </w:r>
          </w:p>
        </w:tc>
        <w:tc>
          <w:tcPr>
            <w:tcW w:w="573" w:type="pct"/>
            <w:shd w:val="clear" w:color="000000" w:fill="00516B"/>
            <w:vAlign w:val="center"/>
          </w:tcPr>
          <w:p w14:paraId="424EB4F6">
            <w:pPr>
              <w:widowControl/>
              <w:spacing w:line="240" w:lineRule="auto"/>
              <w:ind w:firstLine="0" w:firstLineChars="0"/>
              <w:jc w:val="center"/>
              <w:rPr>
                <w:rFonts w:eastAsia="宋体" w:cs="Times New Roman"/>
                <w:b/>
                <w:bCs/>
                <w:color w:val="FFFFFF"/>
                <w:sz w:val="20"/>
                <w:szCs w:val="20"/>
              </w:rPr>
            </w:pPr>
            <w:r>
              <w:rPr>
                <w:rFonts w:eastAsia="宋体" w:cs="Times New Roman"/>
                <w:b/>
                <w:bCs/>
                <w:color w:val="FFFFFF"/>
                <w:sz w:val="20"/>
                <w:szCs w:val="20"/>
              </w:rPr>
              <w:t>权重</w:t>
            </w:r>
          </w:p>
        </w:tc>
        <w:tc>
          <w:tcPr>
            <w:tcW w:w="401" w:type="pct"/>
            <w:shd w:val="clear" w:color="000000" w:fill="00516B"/>
            <w:vAlign w:val="center"/>
          </w:tcPr>
          <w:p w14:paraId="60811369">
            <w:pPr>
              <w:widowControl/>
              <w:spacing w:line="240" w:lineRule="auto"/>
              <w:ind w:firstLine="0" w:firstLineChars="0"/>
              <w:jc w:val="center"/>
              <w:rPr>
                <w:rFonts w:eastAsia="宋体" w:cs="Times New Roman"/>
                <w:b/>
                <w:bCs/>
                <w:color w:val="FFFFFF"/>
                <w:sz w:val="20"/>
                <w:szCs w:val="20"/>
              </w:rPr>
            </w:pPr>
            <w:r>
              <w:rPr>
                <w:rFonts w:eastAsia="宋体" w:cs="Times New Roman"/>
                <w:b/>
                <w:bCs/>
                <w:color w:val="FFFFFF"/>
                <w:sz w:val="20"/>
                <w:szCs w:val="20"/>
              </w:rPr>
              <w:t>得分</w:t>
            </w:r>
          </w:p>
        </w:tc>
        <w:tc>
          <w:tcPr>
            <w:tcW w:w="545" w:type="pct"/>
            <w:shd w:val="clear" w:color="000000" w:fill="00516B"/>
            <w:vAlign w:val="center"/>
          </w:tcPr>
          <w:p w14:paraId="52D29F60">
            <w:pPr>
              <w:widowControl/>
              <w:spacing w:line="240" w:lineRule="auto"/>
              <w:ind w:firstLine="0" w:firstLineChars="0"/>
              <w:jc w:val="center"/>
              <w:rPr>
                <w:rFonts w:eastAsia="宋体" w:cs="Times New Roman"/>
                <w:b/>
                <w:bCs/>
                <w:color w:val="FFFFFF"/>
                <w:sz w:val="20"/>
                <w:szCs w:val="20"/>
              </w:rPr>
            </w:pPr>
            <w:r>
              <w:rPr>
                <w:rFonts w:eastAsia="宋体" w:cs="Times New Roman"/>
                <w:b/>
                <w:bCs/>
                <w:color w:val="FFFFFF"/>
                <w:sz w:val="20"/>
                <w:szCs w:val="20"/>
              </w:rPr>
              <w:t>得分率</w:t>
            </w:r>
          </w:p>
        </w:tc>
      </w:tr>
      <w:tr w14:paraId="440C0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77" w:type="pct"/>
            <w:vMerge w:val="restart"/>
            <w:vAlign w:val="center"/>
          </w:tcPr>
          <w:p w14:paraId="27A2968D">
            <w:pPr>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部门履职效能</w:t>
            </w:r>
          </w:p>
        </w:tc>
        <w:tc>
          <w:tcPr>
            <w:tcW w:w="848" w:type="pct"/>
            <w:shd w:val="clear" w:color="auto" w:fill="auto"/>
            <w:vAlign w:val="center"/>
          </w:tcPr>
          <w:p w14:paraId="23765998">
            <w:pPr>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不动产登记</w:t>
            </w:r>
          </w:p>
        </w:tc>
        <w:tc>
          <w:tcPr>
            <w:tcW w:w="1956" w:type="pct"/>
            <w:shd w:val="clear" w:color="auto" w:fill="auto"/>
            <w:vAlign w:val="center"/>
          </w:tcPr>
          <w:p w14:paraId="0E57E2CE">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提升不动产登记率</w:t>
            </w:r>
          </w:p>
        </w:tc>
        <w:tc>
          <w:tcPr>
            <w:tcW w:w="573" w:type="pct"/>
            <w:shd w:val="clear" w:color="auto" w:fill="auto"/>
            <w:vAlign w:val="center"/>
          </w:tcPr>
          <w:p w14:paraId="5CA4B05B">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6.00</w:t>
            </w:r>
          </w:p>
        </w:tc>
        <w:tc>
          <w:tcPr>
            <w:tcW w:w="401" w:type="pct"/>
            <w:shd w:val="clear" w:color="auto" w:fill="auto"/>
            <w:noWrap/>
          </w:tcPr>
          <w:p w14:paraId="350E83C0">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6.00</w:t>
            </w:r>
          </w:p>
        </w:tc>
        <w:tc>
          <w:tcPr>
            <w:tcW w:w="545" w:type="pct"/>
            <w:shd w:val="clear" w:color="auto" w:fill="auto"/>
            <w:noWrap/>
          </w:tcPr>
          <w:p w14:paraId="08E13DC9">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100.00%</w:t>
            </w:r>
          </w:p>
        </w:tc>
      </w:tr>
      <w:tr w14:paraId="7012A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77" w:type="pct"/>
            <w:vMerge w:val="continue"/>
          </w:tcPr>
          <w:p w14:paraId="1C0699F0">
            <w:pPr>
              <w:widowControl/>
              <w:spacing w:line="240" w:lineRule="auto"/>
              <w:ind w:firstLine="0" w:firstLineChars="0"/>
              <w:jc w:val="center"/>
              <w:rPr>
                <w:rFonts w:eastAsia="宋体" w:cs="Times New Roman"/>
                <w:color w:val="000000"/>
                <w:sz w:val="20"/>
                <w:szCs w:val="20"/>
              </w:rPr>
            </w:pPr>
          </w:p>
        </w:tc>
        <w:tc>
          <w:tcPr>
            <w:tcW w:w="848" w:type="pct"/>
            <w:vMerge w:val="restart"/>
            <w:shd w:val="clear" w:color="auto" w:fill="auto"/>
            <w:vAlign w:val="center"/>
          </w:tcPr>
          <w:p w14:paraId="444C5804">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灾害防治</w:t>
            </w:r>
          </w:p>
        </w:tc>
        <w:tc>
          <w:tcPr>
            <w:tcW w:w="1956" w:type="pct"/>
            <w:shd w:val="clear" w:color="auto" w:fill="auto"/>
            <w:vAlign w:val="center"/>
          </w:tcPr>
          <w:p w14:paraId="3FD96466">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地质灾害防治</w:t>
            </w:r>
          </w:p>
        </w:tc>
        <w:tc>
          <w:tcPr>
            <w:tcW w:w="573" w:type="pct"/>
            <w:shd w:val="clear" w:color="auto" w:fill="auto"/>
            <w:vAlign w:val="center"/>
          </w:tcPr>
          <w:p w14:paraId="11ED79D2">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4.00</w:t>
            </w:r>
          </w:p>
        </w:tc>
        <w:tc>
          <w:tcPr>
            <w:tcW w:w="401" w:type="pct"/>
            <w:shd w:val="clear" w:color="auto" w:fill="auto"/>
            <w:noWrap/>
            <w:vAlign w:val="center"/>
          </w:tcPr>
          <w:p w14:paraId="5E671BD1">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4.00</w:t>
            </w:r>
          </w:p>
        </w:tc>
        <w:tc>
          <w:tcPr>
            <w:tcW w:w="545" w:type="pct"/>
            <w:shd w:val="clear" w:color="auto" w:fill="auto"/>
            <w:noWrap/>
            <w:vAlign w:val="center"/>
          </w:tcPr>
          <w:p w14:paraId="34A31969">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100.00%</w:t>
            </w:r>
          </w:p>
        </w:tc>
      </w:tr>
      <w:tr w14:paraId="737B8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77" w:type="pct"/>
            <w:vMerge w:val="continue"/>
          </w:tcPr>
          <w:p w14:paraId="17A9520C">
            <w:pPr>
              <w:widowControl/>
              <w:spacing w:line="240" w:lineRule="auto"/>
              <w:ind w:firstLine="0" w:firstLineChars="0"/>
              <w:jc w:val="center"/>
              <w:rPr>
                <w:rFonts w:eastAsia="宋体" w:cs="Times New Roman"/>
                <w:color w:val="000000"/>
                <w:sz w:val="20"/>
                <w:szCs w:val="20"/>
              </w:rPr>
            </w:pPr>
          </w:p>
        </w:tc>
        <w:tc>
          <w:tcPr>
            <w:tcW w:w="848" w:type="pct"/>
            <w:vMerge w:val="continue"/>
            <w:shd w:val="clear" w:color="auto" w:fill="auto"/>
            <w:vAlign w:val="center"/>
          </w:tcPr>
          <w:p w14:paraId="55BD6482">
            <w:pPr>
              <w:widowControl/>
              <w:spacing w:line="240" w:lineRule="auto"/>
              <w:ind w:firstLine="0" w:firstLineChars="0"/>
              <w:jc w:val="center"/>
              <w:rPr>
                <w:rFonts w:eastAsia="宋体" w:cs="Times New Roman"/>
                <w:color w:val="000000"/>
                <w:sz w:val="20"/>
                <w:szCs w:val="20"/>
              </w:rPr>
            </w:pPr>
          </w:p>
        </w:tc>
        <w:tc>
          <w:tcPr>
            <w:tcW w:w="1956" w:type="pct"/>
            <w:shd w:val="clear" w:color="auto" w:fill="auto"/>
            <w:vAlign w:val="center"/>
          </w:tcPr>
          <w:p w14:paraId="5DC5BA5F">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森林防火</w:t>
            </w:r>
          </w:p>
        </w:tc>
        <w:tc>
          <w:tcPr>
            <w:tcW w:w="573" w:type="pct"/>
            <w:shd w:val="clear" w:color="auto" w:fill="auto"/>
            <w:vAlign w:val="center"/>
          </w:tcPr>
          <w:p w14:paraId="058BC4FA">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4.00</w:t>
            </w:r>
          </w:p>
        </w:tc>
        <w:tc>
          <w:tcPr>
            <w:tcW w:w="401" w:type="pct"/>
            <w:shd w:val="clear" w:color="auto" w:fill="auto"/>
            <w:noWrap/>
            <w:vAlign w:val="center"/>
          </w:tcPr>
          <w:p w14:paraId="5E1064F7">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4.00</w:t>
            </w:r>
          </w:p>
        </w:tc>
        <w:tc>
          <w:tcPr>
            <w:tcW w:w="545" w:type="pct"/>
            <w:shd w:val="clear" w:color="auto" w:fill="auto"/>
            <w:noWrap/>
            <w:vAlign w:val="center"/>
          </w:tcPr>
          <w:p w14:paraId="35FE2FC6">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100.00%</w:t>
            </w:r>
          </w:p>
        </w:tc>
      </w:tr>
      <w:tr w14:paraId="46339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77" w:type="pct"/>
            <w:vMerge w:val="continue"/>
          </w:tcPr>
          <w:p w14:paraId="64565521">
            <w:pPr>
              <w:spacing w:line="240" w:lineRule="auto"/>
              <w:ind w:firstLine="0" w:firstLineChars="0"/>
              <w:jc w:val="center"/>
              <w:rPr>
                <w:rFonts w:eastAsia="宋体" w:cs="Times New Roman"/>
                <w:color w:val="000000"/>
                <w:sz w:val="20"/>
                <w:szCs w:val="20"/>
              </w:rPr>
            </w:pPr>
          </w:p>
        </w:tc>
        <w:tc>
          <w:tcPr>
            <w:tcW w:w="848" w:type="pct"/>
            <w:vMerge w:val="restart"/>
            <w:shd w:val="clear" w:color="auto" w:fill="auto"/>
            <w:vAlign w:val="center"/>
          </w:tcPr>
          <w:p w14:paraId="5F0CBEA9">
            <w:pPr>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统筹用地</w:t>
            </w:r>
          </w:p>
        </w:tc>
        <w:tc>
          <w:tcPr>
            <w:tcW w:w="1956" w:type="pct"/>
            <w:shd w:val="clear" w:color="auto" w:fill="auto"/>
            <w:vAlign w:val="center"/>
          </w:tcPr>
          <w:p w14:paraId="06FB33E9">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统筹安排各类各业用地</w:t>
            </w:r>
          </w:p>
        </w:tc>
        <w:tc>
          <w:tcPr>
            <w:tcW w:w="573" w:type="pct"/>
            <w:shd w:val="clear" w:color="auto" w:fill="auto"/>
            <w:vAlign w:val="center"/>
          </w:tcPr>
          <w:p w14:paraId="6E03354D">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4.00</w:t>
            </w:r>
          </w:p>
        </w:tc>
        <w:tc>
          <w:tcPr>
            <w:tcW w:w="401" w:type="pct"/>
            <w:shd w:val="clear" w:color="auto" w:fill="auto"/>
            <w:noWrap/>
            <w:vAlign w:val="center"/>
          </w:tcPr>
          <w:p w14:paraId="0C20CC01">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4.00</w:t>
            </w:r>
          </w:p>
        </w:tc>
        <w:tc>
          <w:tcPr>
            <w:tcW w:w="545" w:type="pct"/>
            <w:shd w:val="clear" w:color="auto" w:fill="auto"/>
            <w:noWrap/>
            <w:vAlign w:val="center"/>
          </w:tcPr>
          <w:p w14:paraId="613EEDBF">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100.00%</w:t>
            </w:r>
          </w:p>
        </w:tc>
      </w:tr>
      <w:tr w14:paraId="6F9ED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77" w:type="pct"/>
            <w:vMerge w:val="continue"/>
          </w:tcPr>
          <w:p w14:paraId="4477A17E">
            <w:pPr>
              <w:widowControl/>
              <w:spacing w:line="240" w:lineRule="auto"/>
              <w:ind w:firstLine="0" w:firstLineChars="0"/>
              <w:jc w:val="center"/>
              <w:rPr>
                <w:rFonts w:eastAsia="宋体" w:cs="Times New Roman"/>
                <w:color w:val="000000"/>
                <w:sz w:val="20"/>
                <w:szCs w:val="20"/>
              </w:rPr>
            </w:pPr>
          </w:p>
        </w:tc>
        <w:tc>
          <w:tcPr>
            <w:tcW w:w="848" w:type="pct"/>
            <w:vMerge w:val="continue"/>
            <w:shd w:val="clear" w:color="auto" w:fill="auto"/>
            <w:vAlign w:val="center"/>
          </w:tcPr>
          <w:p w14:paraId="3C7B2AE7">
            <w:pPr>
              <w:widowControl/>
              <w:spacing w:line="240" w:lineRule="auto"/>
              <w:ind w:firstLine="0" w:firstLineChars="0"/>
              <w:jc w:val="center"/>
              <w:rPr>
                <w:rFonts w:eastAsia="宋体" w:cs="Times New Roman"/>
                <w:color w:val="000000"/>
                <w:sz w:val="20"/>
                <w:szCs w:val="20"/>
              </w:rPr>
            </w:pPr>
          </w:p>
        </w:tc>
        <w:tc>
          <w:tcPr>
            <w:tcW w:w="1956" w:type="pct"/>
            <w:shd w:val="clear" w:color="auto" w:fill="auto"/>
            <w:vAlign w:val="center"/>
          </w:tcPr>
          <w:p w14:paraId="5C29A85F">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重点项目用地保障</w:t>
            </w:r>
          </w:p>
        </w:tc>
        <w:tc>
          <w:tcPr>
            <w:tcW w:w="573" w:type="pct"/>
            <w:shd w:val="clear" w:color="auto" w:fill="auto"/>
            <w:vAlign w:val="center"/>
          </w:tcPr>
          <w:p w14:paraId="452D3727">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3.00</w:t>
            </w:r>
          </w:p>
        </w:tc>
        <w:tc>
          <w:tcPr>
            <w:tcW w:w="401" w:type="pct"/>
            <w:shd w:val="clear" w:color="auto" w:fill="auto"/>
            <w:noWrap/>
            <w:vAlign w:val="center"/>
          </w:tcPr>
          <w:p w14:paraId="72A9A98F">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3.00</w:t>
            </w:r>
          </w:p>
        </w:tc>
        <w:tc>
          <w:tcPr>
            <w:tcW w:w="545" w:type="pct"/>
            <w:shd w:val="clear" w:color="auto" w:fill="auto"/>
            <w:noWrap/>
            <w:vAlign w:val="center"/>
          </w:tcPr>
          <w:p w14:paraId="71DABD58">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100.00%</w:t>
            </w:r>
          </w:p>
        </w:tc>
      </w:tr>
      <w:tr w14:paraId="5E434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77" w:type="pct"/>
            <w:vMerge w:val="continue"/>
          </w:tcPr>
          <w:p w14:paraId="3B96C363">
            <w:pPr>
              <w:widowControl/>
              <w:spacing w:line="240" w:lineRule="auto"/>
              <w:ind w:firstLine="0" w:firstLineChars="0"/>
              <w:jc w:val="center"/>
              <w:rPr>
                <w:rFonts w:eastAsia="宋体" w:cs="Times New Roman"/>
                <w:color w:val="000000"/>
                <w:sz w:val="20"/>
                <w:szCs w:val="20"/>
              </w:rPr>
            </w:pPr>
          </w:p>
        </w:tc>
        <w:tc>
          <w:tcPr>
            <w:tcW w:w="848" w:type="pct"/>
            <w:vMerge w:val="continue"/>
            <w:shd w:val="clear" w:color="auto" w:fill="auto"/>
            <w:vAlign w:val="center"/>
          </w:tcPr>
          <w:p w14:paraId="21D2884E">
            <w:pPr>
              <w:widowControl/>
              <w:spacing w:line="240" w:lineRule="auto"/>
              <w:ind w:firstLine="0" w:firstLineChars="0"/>
              <w:jc w:val="center"/>
              <w:rPr>
                <w:rFonts w:eastAsia="宋体" w:cs="Times New Roman"/>
                <w:color w:val="000000"/>
                <w:sz w:val="20"/>
                <w:szCs w:val="20"/>
              </w:rPr>
            </w:pPr>
          </w:p>
        </w:tc>
        <w:tc>
          <w:tcPr>
            <w:tcW w:w="1956" w:type="pct"/>
            <w:shd w:val="clear" w:color="auto" w:fill="auto"/>
            <w:vAlign w:val="center"/>
          </w:tcPr>
          <w:p w14:paraId="24C3DBEC">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推进大熊猫项目建设</w:t>
            </w:r>
          </w:p>
        </w:tc>
        <w:tc>
          <w:tcPr>
            <w:tcW w:w="573" w:type="pct"/>
            <w:shd w:val="clear" w:color="auto" w:fill="auto"/>
            <w:vAlign w:val="center"/>
          </w:tcPr>
          <w:p w14:paraId="08D8C06F">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3.00</w:t>
            </w:r>
          </w:p>
        </w:tc>
        <w:tc>
          <w:tcPr>
            <w:tcW w:w="401" w:type="pct"/>
            <w:shd w:val="clear" w:color="auto" w:fill="auto"/>
            <w:noWrap/>
            <w:vAlign w:val="center"/>
          </w:tcPr>
          <w:p w14:paraId="7E5B11AD">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3.00</w:t>
            </w:r>
          </w:p>
        </w:tc>
        <w:tc>
          <w:tcPr>
            <w:tcW w:w="545" w:type="pct"/>
            <w:shd w:val="clear" w:color="auto" w:fill="auto"/>
            <w:noWrap/>
            <w:vAlign w:val="center"/>
          </w:tcPr>
          <w:p w14:paraId="06C21243">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100.00%</w:t>
            </w:r>
          </w:p>
        </w:tc>
      </w:tr>
      <w:tr w14:paraId="7AEF7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77" w:type="pct"/>
            <w:vMerge w:val="continue"/>
          </w:tcPr>
          <w:p w14:paraId="55917552">
            <w:pPr>
              <w:widowControl/>
              <w:spacing w:line="240" w:lineRule="auto"/>
              <w:ind w:firstLine="0" w:firstLineChars="0"/>
              <w:jc w:val="center"/>
              <w:rPr>
                <w:rFonts w:eastAsia="宋体" w:cs="Times New Roman"/>
                <w:color w:val="000000"/>
                <w:sz w:val="20"/>
                <w:szCs w:val="20"/>
              </w:rPr>
            </w:pPr>
          </w:p>
        </w:tc>
        <w:tc>
          <w:tcPr>
            <w:tcW w:w="848" w:type="pct"/>
            <w:vMerge w:val="restart"/>
            <w:shd w:val="clear" w:color="auto" w:fill="auto"/>
            <w:vAlign w:val="center"/>
          </w:tcPr>
          <w:p w14:paraId="484EBAA8">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绿色发展</w:t>
            </w:r>
          </w:p>
        </w:tc>
        <w:tc>
          <w:tcPr>
            <w:tcW w:w="1956" w:type="pct"/>
            <w:shd w:val="clear" w:color="auto" w:fill="auto"/>
            <w:vAlign w:val="center"/>
          </w:tcPr>
          <w:p w14:paraId="0F5BA024">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永久基本农田储备划定工作完成率</w:t>
            </w:r>
          </w:p>
        </w:tc>
        <w:tc>
          <w:tcPr>
            <w:tcW w:w="573" w:type="pct"/>
            <w:shd w:val="clear" w:color="auto" w:fill="auto"/>
            <w:vAlign w:val="center"/>
          </w:tcPr>
          <w:p w14:paraId="491B4824">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4.00</w:t>
            </w:r>
          </w:p>
        </w:tc>
        <w:tc>
          <w:tcPr>
            <w:tcW w:w="401" w:type="pct"/>
            <w:shd w:val="clear" w:color="auto" w:fill="auto"/>
            <w:noWrap/>
            <w:vAlign w:val="center"/>
          </w:tcPr>
          <w:p w14:paraId="36AB565C">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4.00</w:t>
            </w:r>
          </w:p>
        </w:tc>
        <w:tc>
          <w:tcPr>
            <w:tcW w:w="545" w:type="pct"/>
            <w:shd w:val="clear" w:color="auto" w:fill="auto"/>
            <w:noWrap/>
            <w:vAlign w:val="center"/>
          </w:tcPr>
          <w:p w14:paraId="661CD39F">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100.00%</w:t>
            </w:r>
          </w:p>
        </w:tc>
      </w:tr>
      <w:tr w14:paraId="56314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77" w:type="pct"/>
            <w:vMerge w:val="continue"/>
          </w:tcPr>
          <w:p w14:paraId="4EBD9961">
            <w:pPr>
              <w:widowControl/>
              <w:spacing w:line="240" w:lineRule="auto"/>
              <w:ind w:firstLine="0" w:firstLineChars="0"/>
              <w:jc w:val="center"/>
              <w:rPr>
                <w:rFonts w:eastAsia="宋体" w:cs="Times New Roman"/>
                <w:color w:val="000000"/>
                <w:sz w:val="20"/>
                <w:szCs w:val="20"/>
              </w:rPr>
            </w:pPr>
          </w:p>
        </w:tc>
        <w:tc>
          <w:tcPr>
            <w:tcW w:w="848" w:type="pct"/>
            <w:vMerge w:val="continue"/>
            <w:shd w:val="clear" w:color="auto" w:fill="auto"/>
            <w:vAlign w:val="center"/>
          </w:tcPr>
          <w:p w14:paraId="5AB1F514">
            <w:pPr>
              <w:widowControl/>
              <w:spacing w:line="240" w:lineRule="auto"/>
              <w:ind w:firstLine="0" w:firstLineChars="0"/>
              <w:jc w:val="center"/>
              <w:rPr>
                <w:rFonts w:eastAsia="宋体" w:cs="Times New Roman"/>
                <w:color w:val="000000"/>
                <w:sz w:val="20"/>
                <w:szCs w:val="20"/>
              </w:rPr>
            </w:pPr>
          </w:p>
        </w:tc>
        <w:tc>
          <w:tcPr>
            <w:tcW w:w="1956" w:type="pct"/>
            <w:shd w:val="clear" w:color="auto" w:fill="auto"/>
            <w:vAlign w:val="center"/>
          </w:tcPr>
          <w:p w14:paraId="7813EE1B">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永久基本农田划定成果核实整改工作完成率</w:t>
            </w:r>
          </w:p>
        </w:tc>
        <w:tc>
          <w:tcPr>
            <w:tcW w:w="573" w:type="pct"/>
            <w:shd w:val="clear" w:color="auto" w:fill="auto"/>
            <w:vAlign w:val="center"/>
          </w:tcPr>
          <w:p w14:paraId="2FA28CF4">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4.00</w:t>
            </w:r>
          </w:p>
        </w:tc>
        <w:tc>
          <w:tcPr>
            <w:tcW w:w="401" w:type="pct"/>
            <w:shd w:val="clear" w:color="auto" w:fill="auto"/>
            <w:noWrap/>
            <w:vAlign w:val="center"/>
          </w:tcPr>
          <w:p w14:paraId="0A062BF5">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0.00</w:t>
            </w:r>
          </w:p>
        </w:tc>
        <w:tc>
          <w:tcPr>
            <w:tcW w:w="545" w:type="pct"/>
            <w:shd w:val="clear" w:color="auto" w:fill="auto"/>
            <w:noWrap/>
            <w:vAlign w:val="center"/>
          </w:tcPr>
          <w:p w14:paraId="29D11C23">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0.00%</w:t>
            </w:r>
          </w:p>
        </w:tc>
      </w:tr>
      <w:tr w14:paraId="7DA00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77" w:type="pct"/>
            <w:vMerge w:val="continue"/>
          </w:tcPr>
          <w:p w14:paraId="3B36CC39">
            <w:pPr>
              <w:widowControl/>
              <w:spacing w:line="240" w:lineRule="auto"/>
              <w:ind w:firstLine="0" w:firstLineChars="0"/>
              <w:jc w:val="center"/>
              <w:rPr>
                <w:rFonts w:eastAsia="宋体" w:cs="Times New Roman"/>
                <w:color w:val="000000"/>
                <w:sz w:val="20"/>
                <w:szCs w:val="20"/>
              </w:rPr>
            </w:pPr>
          </w:p>
        </w:tc>
        <w:tc>
          <w:tcPr>
            <w:tcW w:w="848" w:type="pct"/>
            <w:vMerge w:val="continue"/>
            <w:shd w:val="clear" w:color="auto" w:fill="auto"/>
            <w:vAlign w:val="center"/>
          </w:tcPr>
          <w:p w14:paraId="4045857E">
            <w:pPr>
              <w:widowControl/>
              <w:spacing w:line="240" w:lineRule="auto"/>
              <w:ind w:firstLine="0" w:firstLineChars="0"/>
              <w:jc w:val="center"/>
              <w:rPr>
                <w:rFonts w:eastAsia="宋体" w:cs="Times New Roman"/>
                <w:color w:val="000000"/>
                <w:sz w:val="20"/>
                <w:szCs w:val="20"/>
              </w:rPr>
            </w:pPr>
          </w:p>
        </w:tc>
        <w:tc>
          <w:tcPr>
            <w:tcW w:w="1956" w:type="pct"/>
            <w:shd w:val="clear" w:color="auto" w:fill="auto"/>
            <w:vAlign w:val="center"/>
          </w:tcPr>
          <w:p w14:paraId="461F03FF">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开展大规模绿化行动工作完成率</w:t>
            </w:r>
          </w:p>
        </w:tc>
        <w:tc>
          <w:tcPr>
            <w:tcW w:w="573" w:type="pct"/>
            <w:shd w:val="clear" w:color="auto" w:fill="auto"/>
            <w:vAlign w:val="center"/>
          </w:tcPr>
          <w:p w14:paraId="2EE92395">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4.00</w:t>
            </w:r>
          </w:p>
        </w:tc>
        <w:tc>
          <w:tcPr>
            <w:tcW w:w="401" w:type="pct"/>
            <w:shd w:val="clear" w:color="auto" w:fill="auto"/>
            <w:noWrap/>
            <w:vAlign w:val="center"/>
          </w:tcPr>
          <w:p w14:paraId="4106CBB8">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3.00</w:t>
            </w:r>
          </w:p>
        </w:tc>
        <w:tc>
          <w:tcPr>
            <w:tcW w:w="545" w:type="pct"/>
            <w:shd w:val="clear" w:color="auto" w:fill="auto"/>
            <w:noWrap/>
            <w:vAlign w:val="center"/>
          </w:tcPr>
          <w:p w14:paraId="3CC21B59">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75.00%</w:t>
            </w:r>
          </w:p>
        </w:tc>
      </w:tr>
      <w:tr w14:paraId="46532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77" w:type="pct"/>
            <w:vMerge w:val="continue"/>
          </w:tcPr>
          <w:p w14:paraId="7F23E01C">
            <w:pPr>
              <w:widowControl/>
              <w:spacing w:line="240" w:lineRule="auto"/>
              <w:ind w:firstLine="0" w:firstLineChars="0"/>
              <w:jc w:val="center"/>
              <w:rPr>
                <w:rFonts w:eastAsia="宋体" w:cs="Times New Roman"/>
                <w:color w:val="000000"/>
                <w:sz w:val="20"/>
                <w:szCs w:val="20"/>
              </w:rPr>
            </w:pPr>
          </w:p>
        </w:tc>
        <w:tc>
          <w:tcPr>
            <w:tcW w:w="848" w:type="pct"/>
            <w:vMerge w:val="continue"/>
            <w:shd w:val="clear" w:color="auto" w:fill="auto"/>
            <w:vAlign w:val="center"/>
          </w:tcPr>
          <w:p w14:paraId="1E5981E4">
            <w:pPr>
              <w:widowControl/>
              <w:spacing w:line="240" w:lineRule="auto"/>
              <w:ind w:firstLine="0" w:firstLineChars="0"/>
              <w:jc w:val="center"/>
              <w:rPr>
                <w:rFonts w:eastAsia="宋体" w:cs="Times New Roman"/>
                <w:color w:val="000000"/>
                <w:sz w:val="20"/>
                <w:szCs w:val="20"/>
              </w:rPr>
            </w:pPr>
          </w:p>
        </w:tc>
        <w:tc>
          <w:tcPr>
            <w:tcW w:w="1956" w:type="pct"/>
            <w:shd w:val="clear" w:color="auto" w:fill="auto"/>
            <w:vAlign w:val="center"/>
          </w:tcPr>
          <w:p w14:paraId="6AD8DB12">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提升野生动物收容救助率</w:t>
            </w:r>
          </w:p>
        </w:tc>
        <w:tc>
          <w:tcPr>
            <w:tcW w:w="573" w:type="pct"/>
            <w:shd w:val="clear" w:color="auto" w:fill="auto"/>
            <w:vAlign w:val="center"/>
          </w:tcPr>
          <w:p w14:paraId="1C593A2D">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4.00</w:t>
            </w:r>
          </w:p>
        </w:tc>
        <w:tc>
          <w:tcPr>
            <w:tcW w:w="401" w:type="pct"/>
            <w:shd w:val="clear" w:color="auto" w:fill="auto"/>
            <w:noWrap/>
            <w:vAlign w:val="center"/>
          </w:tcPr>
          <w:p w14:paraId="261994E9">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4.00</w:t>
            </w:r>
          </w:p>
        </w:tc>
        <w:tc>
          <w:tcPr>
            <w:tcW w:w="545" w:type="pct"/>
            <w:shd w:val="clear" w:color="auto" w:fill="auto"/>
            <w:noWrap/>
            <w:vAlign w:val="center"/>
          </w:tcPr>
          <w:p w14:paraId="3E7269D7">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100.00%</w:t>
            </w:r>
          </w:p>
        </w:tc>
      </w:tr>
      <w:tr w14:paraId="688CE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77" w:type="pct"/>
            <w:vMerge w:val="continue"/>
          </w:tcPr>
          <w:p w14:paraId="7E8A14F3">
            <w:pPr>
              <w:widowControl/>
              <w:spacing w:line="240" w:lineRule="auto"/>
              <w:ind w:firstLine="0" w:firstLineChars="0"/>
              <w:jc w:val="center"/>
              <w:rPr>
                <w:rFonts w:eastAsia="宋体" w:cs="Times New Roman"/>
                <w:color w:val="000000"/>
                <w:sz w:val="20"/>
                <w:szCs w:val="20"/>
              </w:rPr>
            </w:pPr>
          </w:p>
        </w:tc>
        <w:tc>
          <w:tcPr>
            <w:tcW w:w="848" w:type="pct"/>
            <w:vMerge w:val="restart"/>
            <w:shd w:val="clear" w:color="auto" w:fill="auto"/>
            <w:vAlign w:val="center"/>
          </w:tcPr>
          <w:p w14:paraId="1252A318">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卫片执法</w:t>
            </w:r>
          </w:p>
        </w:tc>
        <w:tc>
          <w:tcPr>
            <w:tcW w:w="1956" w:type="pct"/>
            <w:shd w:val="clear" w:color="auto" w:fill="auto"/>
            <w:vAlign w:val="center"/>
          </w:tcPr>
          <w:p w14:paraId="07478A17">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加强法律法规宣传</w:t>
            </w:r>
          </w:p>
        </w:tc>
        <w:tc>
          <w:tcPr>
            <w:tcW w:w="573" w:type="pct"/>
            <w:shd w:val="clear" w:color="auto" w:fill="auto"/>
            <w:vAlign w:val="center"/>
          </w:tcPr>
          <w:p w14:paraId="5E895AF0">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4.00</w:t>
            </w:r>
          </w:p>
        </w:tc>
        <w:tc>
          <w:tcPr>
            <w:tcW w:w="401" w:type="pct"/>
            <w:shd w:val="clear" w:color="auto" w:fill="auto"/>
            <w:noWrap/>
            <w:vAlign w:val="center"/>
          </w:tcPr>
          <w:p w14:paraId="56728712">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4.00</w:t>
            </w:r>
          </w:p>
        </w:tc>
        <w:tc>
          <w:tcPr>
            <w:tcW w:w="545" w:type="pct"/>
            <w:shd w:val="clear" w:color="auto" w:fill="auto"/>
            <w:noWrap/>
            <w:vAlign w:val="center"/>
          </w:tcPr>
          <w:p w14:paraId="02B4AE3C">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100.00%</w:t>
            </w:r>
          </w:p>
        </w:tc>
      </w:tr>
      <w:tr w14:paraId="32FCD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77" w:type="pct"/>
            <w:vMerge w:val="continue"/>
          </w:tcPr>
          <w:p w14:paraId="01A52DB1">
            <w:pPr>
              <w:widowControl/>
              <w:spacing w:line="240" w:lineRule="auto"/>
              <w:ind w:firstLine="0" w:firstLineChars="0"/>
              <w:jc w:val="center"/>
              <w:rPr>
                <w:rFonts w:eastAsia="宋体" w:cs="Times New Roman"/>
                <w:color w:val="000000"/>
                <w:sz w:val="20"/>
                <w:szCs w:val="20"/>
              </w:rPr>
            </w:pPr>
          </w:p>
        </w:tc>
        <w:tc>
          <w:tcPr>
            <w:tcW w:w="848" w:type="pct"/>
            <w:vMerge w:val="continue"/>
            <w:shd w:val="clear" w:color="auto" w:fill="auto"/>
            <w:vAlign w:val="center"/>
          </w:tcPr>
          <w:p w14:paraId="38D69D58">
            <w:pPr>
              <w:widowControl/>
              <w:spacing w:line="240" w:lineRule="auto"/>
              <w:ind w:firstLine="0" w:firstLineChars="0"/>
              <w:jc w:val="center"/>
              <w:rPr>
                <w:rFonts w:eastAsia="宋体" w:cs="Times New Roman"/>
                <w:color w:val="000000"/>
                <w:sz w:val="20"/>
                <w:szCs w:val="20"/>
              </w:rPr>
            </w:pPr>
          </w:p>
        </w:tc>
        <w:tc>
          <w:tcPr>
            <w:tcW w:w="1956" w:type="pct"/>
            <w:shd w:val="clear" w:color="auto" w:fill="auto"/>
            <w:vAlign w:val="center"/>
          </w:tcPr>
          <w:p w14:paraId="1C5EFBBC">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加强动态巡查</w:t>
            </w:r>
          </w:p>
        </w:tc>
        <w:tc>
          <w:tcPr>
            <w:tcW w:w="573" w:type="pct"/>
            <w:shd w:val="clear" w:color="auto" w:fill="auto"/>
            <w:vAlign w:val="center"/>
          </w:tcPr>
          <w:p w14:paraId="02EC142C">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4.00</w:t>
            </w:r>
          </w:p>
        </w:tc>
        <w:tc>
          <w:tcPr>
            <w:tcW w:w="401" w:type="pct"/>
            <w:shd w:val="clear" w:color="auto" w:fill="auto"/>
            <w:noWrap/>
            <w:vAlign w:val="center"/>
          </w:tcPr>
          <w:p w14:paraId="35CE8A4A">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4.00</w:t>
            </w:r>
          </w:p>
        </w:tc>
        <w:tc>
          <w:tcPr>
            <w:tcW w:w="545" w:type="pct"/>
            <w:shd w:val="clear" w:color="auto" w:fill="auto"/>
            <w:noWrap/>
            <w:vAlign w:val="center"/>
          </w:tcPr>
          <w:p w14:paraId="4F9C1C77">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100.00%</w:t>
            </w:r>
          </w:p>
        </w:tc>
      </w:tr>
      <w:tr w14:paraId="7B48B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77" w:type="pct"/>
            <w:vMerge w:val="continue"/>
          </w:tcPr>
          <w:p w14:paraId="296D1336">
            <w:pPr>
              <w:widowControl/>
              <w:spacing w:line="240" w:lineRule="auto"/>
              <w:ind w:firstLine="0" w:firstLineChars="0"/>
              <w:jc w:val="center"/>
              <w:rPr>
                <w:rFonts w:eastAsia="宋体" w:cs="Times New Roman"/>
                <w:color w:val="000000"/>
                <w:sz w:val="20"/>
                <w:szCs w:val="20"/>
              </w:rPr>
            </w:pPr>
          </w:p>
        </w:tc>
        <w:tc>
          <w:tcPr>
            <w:tcW w:w="848" w:type="pct"/>
            <w:vMerge w:val="restart"/>
            <w:shd w:val="clear" w:color="auto" w:fill="auto"/>
            <w:vAlign w:val="center"/>
          </w:tcPr>
          <w:p w14:paraId="5886D801">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廉政建设与意识形态工作</w:t>
            </w:r>
          </w:p>
        </w:tc>
        <w:tc>
          <w:tcPr>
            <w:tcW w:w="1956" w:type="pct"/>
            <w:shd w:val="clear" w:color="auto" w:fill="auto"/>
            <w:vAlign w:val="center"/>
          </w:tcPr>
          <w:p w14:paraId="481992F4">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压紧管党治党政治责任</w:t>
            </w:r>
          </w:p>
        </w:tc>
        <w:tc>
          <w:tcPr>
            <w:tcW w:w="573" w:type="pct"/>
            <w:shd w:val="clear" w:color="auto" w:fill="auto"/>
            <w:vAlign w:val="center"/>
          </w:tcPr>
          <w:p w14:paraId="18276665">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4.00</w:t>
            </w:r>
          </w:p>
        </w:tc>
        <w:tc>
          <w:tcPr>
            <w:tcW w:w="401" w:type="pct"/>
            <w:shd w:val="clear" w:color="auto" w:fill="auto"/>
            <w:noWrap/>
            <w:vAlign w:val="center"/>
          </w:tcPr>
          <w:p w14:paraId="3A8FFCAB">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4.00</w:t>
            </w:r>
          </w:p>
        </w:tc>
        <w:tc>
          <w:tcPr>
            <w:tcW w:w="545" w:type="pct"/>
            <w:shd w:val="clear" w:color="auto" w:fill="auto"/>
            <w:noWrap/>
            <w:vAlign w:val="center"/>
          </w:tcPr>
          <w:p w14:paraId="40DD0D01">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100.00%</w:t>
            </w:r>
          </w:p>
        </w:tc>
      </w:tr>
      <w:tr w14:paraId="53B45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77" w:type="pct"/>
            <w:vMerge w:val="continue"/>
          </w:tcPr>
          <w:p w14:paraId="2F29BABF">
            <w:pPr>
              <w:widowControl/>
              <w:spacing w:line="240" w:lineRule="auto"/>
              <w:ind w:firstLine="0" w:firstLineChars="0"/>
              <w:jc w:val="center"/>
              <w:rPr>
                <w:rFonts w:eastAsia="宋体" w:cs="Times New Roman"/>
                <w:color w:val="000000"/>
                <w:sz w:val="20"/>
                <w:szCs w:val="20"/>
              </w:rPr>
            </w:pPr>
          </w:p>
        </w:tc>
        <w:tc>
          <w:tcPr>
            <w:tcW w:w="848" w:type="pct"/>
            <w:vMerge w:val="continue"/>
            <w:shd w:val="clear" w:color="auto" w:fill="auto"/>
            <w:vAlign w:val="center"/>
          </w:tcPr>
          <w:p w14:paraId="6EEDFC8A">
            <w:pPr>
              <w:widowControl/>
              <w:spacing w:line="240" w:lineRule="auto"/>
              <w:ind w:firstLine="0" w:firstLineChars="0"/>
              <w:jc w:val="center"/>
              <w:rPr>
                <w:rFonts w:eastAsia="宋体" w:cs="Times New Roman"/>
                <w:color w:val="000000"/>
                <w:sz w:val="20"/>
                <w:szCs w:val="20"/>
              </w:rPr>
            </w:pPr>
          </w:p>
        </w:tc>
        <w:tc>
          <w:tcPr>
            <w:tcW w:w="1956" w:type="pct"/>
            <w:shd w:val="clear" w:color="auto" w:fill="auto"/>
            <w:vAlign w:val="center"/>
          </w:tcPr>
          <w:p w14:paraId="3AFE1B17">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加强廉政风险防控</w:t>
            </w:r>
          </w:p>
        </w:tc>
        <w:tc>
          <w:tcPr>
            <w:tcW w:w="573" w:type="pct"/>
            <w:shd w:val="clear" w:color="auto" w:fill="auto"/>
            <w:vAlign w:val="center"/>
          </w:tcPr>
          <w:p w14:paraId="41621CFE">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4.00</w:t>
            </w:r>
          </w:p>
        </w:tc>
        <w:tc>
          <w:tcPr>
            <w:tcW w:w="401" w:type="pct"/>
            <w:shd w:val="clear" w:color="auto" w:fill="auto"/>
            <w:noWrap/>
            <w:vAlign w:val="center"/>
          </w:tcPr>
          <w:p w14:paraId="6BFF1BBB">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4.00</w:t>
            </w:r>
          </w:p>
        </w:tc>
        <w:tc>
          <w:tcPr>
            <w:tcW w:w="545" w:type="pct"/>
            <w:shd w:val="clear" w:color="auto" w:fill="auto"/>
            <w:noWrap/>
            <w:vAlign w:val="center"/>
          </w:tcPr>
          <w:p w14:paraId="34D7BE82">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100.00%</w:t>
            </w:r>
          </w:p>
        </w:tc>
      </w:tr>
      <w:tr w14:paraId="2940E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77" w:type="pct"/>
            <w:vMerge w:val="continue"/>
          </w:tcPr>
          <w:p w14:paraId="48B4B13F">
            <w:pPr>
              <w:widowControl/>
              <w:spacing w:line="240" w:lineRule="auto"/>
              <w:ind w:firstLine="0" w:firstLineChars="0"/>
              <w:jc w:val="center"/>
              <w:rPr>
                <w:rFonts w:eastAsia="宋体" w:cs="Times New Roman"/>
                <w:color w:val="000000"/>
                <w:sz w:val="20"/>
                <w:szCs w:val="20"/>
              </w:rPr>
            </w:pPr>
          </w:p>
        </w:tc>
        <w:tc>
          <w:tcPr>
            <w:tcW w:w="848" w:type="pct"/>
            <w:shd w:val="clear" w:color="auto" w:fill="auto"/>
            <w:vAlign w:val="center"/>
          </w:tcPr>
          <w:p w14:paraId="570089F0">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土地基金收入</w:t>
            </w:r>
          </w:p>
        </w:tc>
        <w:tc>
          <w:tcPr>
            <w:tcW w:w="1956" w:type="pct"/>
            <w:shd w:val="clear" w:color="auto" w:fill="auto"/>
            <w:vAlign w:val="center"/>
          </w:tcPr>
          <w:p w14:paraId="4AB8A40A">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土地基金收入任务完成率</w:t>
            </w:r>
          </w:p>
        </w:tc>
        <w:tc>
          <w:tcPr>
            <w:tcW w:w="573" w:type="pct"/>
            <w:shd w:val="clear" w:color="auto" w:fill="auto"/>
            <w:vAlign w:val="center"/>
          </w:tcPr>
          <w:p w14:paraId="2879E408">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6.00</w:t>
            </w:r>
          </w:p>
        </w:tc>
        <w:tc>
          <w:tcPr>
            <w:tcW w:w="401" w:type="pct"/>
            <w:shd w:val="clear" w:color="auto" w:fill="auto"/>
            <w:noWrap/>
            <w:vAlign w:val="center"/>
          </w:tcPr>
          <w:p w14:paraId="672DDCEC">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6.00</w:t>
            </w:r>
          </w:p>
        </w:tc>
        <w:tc>
          <w:tcPr>
            <w:tcW w:w="545" w:type="pct"/>
            <w:shd w:val="clear" w:color="auto" w:fill="auto"/>
            <w:noWrap/>
            <w:vAlign w:val="center"/>
          </w:tcPr>
          <w:p w14:paraId="658137A7">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100.00%</w:t>
            </w:r>
          </w:p>
        </w:tc>
      </w:tr>
      <w:tr w14:paraId="66A49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77" w:type="pct"/>
            <w:vMerge w:val="continue"/>
          </w:tcPr>
          <w:p w14:paraId="3AE0DCFD">
            <w:pPr>
              <w:spacing w:line="240" w:lineRule="auto"/>
              <w:ind w:firstLine="0" w:firstLineChars="0"/>
              <w:jc w:val="center"/>
              <w:rPr>
                <w:rFonts w:eastAsia="宋体" w:cs="Times New Roman"/>
                <w:color w:val="000000"/>
                <w:sz w:val="20"/>
                <w:szCs w:val="20"/>
              </w:rPr>
            </w:pPr>
          </w:p>
        </w:tc>
        <w:tc>
          <w:tcPr>
            <w:tcW w:w="848" w:type="pct"/>
            <w:vMerge w:val="restart"/>
            <w:shd w:val="clear" w:color="auto" w:fill="auto"/>
            <w:vAlign w:val="center"/>
          </w:tcPr>
          <w:p w14:paraId="5F8ABBD0">
            <w:pPr>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专项整治</w:t>
            </w:r>
          </w:p>
        </w:tc>
        <w:tc>
          <w:tcPr>
            <w:tcW w:w="1956" w:type="pct"/>
            <w:shd w:val="clear" w:color="auto" w:fill="auto"/>
            <w:vAlign w:val="center"/>
          </w:tcPr>
          <w:p w14:paraId="6853F599">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大棚房专项清理整治</w:t>
            </w:r>
          </w:p>
        </w:tc>
        <w:tc>
          <w:tcPr>
            <w:tcW w:w="573" w:type="pct"/>
            <w:shd w:val="clear" w:color="auto" w:fill="auto"/>
            <w:vAlign w:val="center"/>
          </w:tcPr>
          <w:p w14:paraId="7801E304">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4.00</w:t>
            </w:r>
          </w:p>
        </w:tc>
        <w:tc>
          <w:tcPr>
            <w:tcW w:w="401" w:type="pct"/>
            <w:shd w:val="clear" w:color="auto" w:fill="auto"/>
            <w:noWrap/>
            <w:vAlign w:val="center"/>
          </w:tcPr>
          <w:p w14:paraId="7B6F1AFE">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4.00</w:t>
            </w:r>
          </w:p>
        </w:tc>
        <w:tc>
          <w:tcPr>
            <w:tcW w:w="545" w:type="pct"/>
            <w:shd w:val="clear" w:color="auto" w:fill="auto"/>
            <w:noWrap/>
            <w:vAlign w:val="center"/>
          </w:tcPr>
          <w:p w14:paraId="706B7CEE">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100.00%</w:t>
            </w:r>
          </w:p>
        </w:tc>
      </w:tr>
      <w:tr w14:paraId="3572C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77" w:type="pct"/>
            <w:vMerge w:val="continue"/>
          </w:tcPr>
          <w:p w14:paraId="544054B3">
            <w:pPr>
              <w:widowControl/>
              <w:spacing w:line="240" w:lineRule="auto"/>
              <w:ind w:firstLine="0" w:firstLineChars="0"/>
              <w:jc w:val="center"/>
              <w:rPr>
                <w:rFonts w:eastAsia="宋体" w:cs="Times New Roman"/>
                <w:color w:val="000000"/>
                <w:sz w:val="20"/>
                <w:szCs w:val="20"/>
              </w:rPr>
            </w:pPr>
          </w:p>
        </w:tc>
        <w:tc>
          <w:tcPr>
            <w:tcW w:w="848" w:type="pct"/>
            <w:vMerge w:val="continue"/>
            <w:shd w:val="clear" w:color="auto" w:fill="auto"/>
            <w:vAlign w:val="center"/>
          </w:tcPr>
          <w:p w14:paraId="42FE32BD">
            <w:pPr>
              <w:widowControl/>
              <w:spacing w:line="240" w:lineRule="auto"/>
              <w:ind w:firstLine="0" w:firstLineChars="0"/>
              <w:jc w:val="center"/>
              <w:rPr>
                <w:rFonts w:eastAsia="宋体" w:cs="Times New Roman"/>
                <w:color w:val="000000"/>
                <w:sz w:val="20"/>
                <w:szCs w:val="20"/>
              </w:rPr>
            </w:pPr>
          </w:p>
        </w:tc>
        <w:tc>
          <w:tcPr>
            <w:tcW w:w="1956" w:type="pct"/>
            <w:shd w:val="clear" w:color="auto" w:fill="auto"/>
            <w:vAlign w:val="center"/>
          </w:tcPr>
          <w:p w14:paraId="2CED6317">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违建别墅整治</w:t>
            </w:r>
          </w:p>
        </w:tc>
        <w:tc>
          <w:tcPr>
            <w:tcW w:w="573" w:type="pct"/>
            <w:shd w:val="clear" w:color="auto" w:fill="auto"/>
            <w:vAlign w:val="center"/>
          </w:tcPr>
          <w:p w14:paraId="29FF2872">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4.00</w:t>
            </w:r>
          </w:p>
        </w:tc>
        <w:tc>
          <w:tcPr>
            <w:tcW w:w="401" w:type="pct"/>
            <w:shd w:val="clear" w:color="auto" w:fill="auto"/>
            <w:noWrap/>
            <w:vAlign w:val="center"/>
          </w:tcPr>
          <w:p w14:paraId="3CBF7501">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4.00</w:t>
            </w:r>
          </w:p>
        </w:tc>
        <w:tc>
          <w:tcPr>
            <w:tcW w:w="545" w:type="pct"/>
            <w:shd w:val="clear" w:color="auto" w:fill="auto"/>
            <w:noWrap/>
            <w:vAlign w:val="center"/>
          </w:tcPr>
          <w:p w14:paraId="17F88E2B">
            <w:pPr>
              <w:widowControl/>
              <w:spacing w:line="240" w:lineRule="auto"/>
              <w:ind w:firstLine="0" w:firstLineChars="0"/>
              <w:jc w:val="center"/>
              <w:rPr>
                <w:rFonts w:eastAsia="宋体" w:cs="Times New Roman"/>
                <w:color w:val="000000"/>
                <w:sz w:val="20"/>
                <w:szCs w:val="20"/>
              </w:rPr>
            </w:pPr>
            <w:r>
              <w:rPr>
                <w:rFonts w:eastAsia="宋体" w:cs="Times New Roman"/>
                <w:color w:val="000000"/>
                <w:sz w:val="20"/>
                <w:szCs w:val="20"/>
              </w:rPr>
              <w:t>100</w:t>
            </w:r>
            <w:r>
              <w:rPr>
                <w:rFonts w:hint="eastAsia" w:eastAsia="宋体" w:cs="Times New Roman"/>
                <w:color w:val="000000"/>
                <w:sz w:val="20"/>
                <w:szCs w:val="20"/>
              </w:rPr>
              <w:t>.</w:t>
            </w:r>
            <w:r>
              <w:rPr>
                <w:rFonts w:eastAsia="宋体" w:cs="Times New Roman"/>
                <w:color w:val="000000"/>
                <w:sz w:val="20"/>
                <w:szCs w:val="20"/>
              </w:rPr>
              <w:t>00%</w:t>
            </w:r>
          </w:p>
        </w:tc>
      </w:tr>
      <w:tr w14:paraId="28C9A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677" w:type="pct"/>
            <w:vMerge w:val="continue"/>
          </w:tcPr>
          <w:p w14:paraId="0EB6F1CA">
            <w:pPr>
              <w:widowControl/>
              <w:spacing w:line="240" w:lineRule="auto"/>
              <w:ind w:firstLine="0" w:firstLineChars="0"/>
              <w:jc w:val="center"/>
              <w:rPr>
                <w:rFonts w:eastAsia="宋体" w:cs="Times New Roman"/>
                <w:b/>
                <w:bCs/>
                <w:color w:val="000000"/>
                <w:sz w:val="20"/>
                <w:szCs w:val="20"/>
              </w:rPr>
            </w:pPr>
          </w:p>
        </w:tc>
        <w:tc>
          <w:tcPr>
            <w:tcW w:w="2804" w:type="pct"/>
            <w:gridSpan w:val="2"/>
            <w:vAlign w:val="center"/>
          </w:tcPr>
          <w:p w14:paraId="1B6694B2">
            <w:pPr>
              <w:widowControl/>
              <w:spacing w:line="240" w:lineRule="auto"/>
              <w:ind w:firstLine="0" w:firstLineChars="0"/>
              <w:jc w:val="center"/>
              <w:rPr>
                <w:rFonts w:eastAsia="宋体" w:cs="Times New Roman"/>
                <w:b/>
                <w:bCs/>
                <w:color w:val="000000"/>
                <w:sz w:val="20"/>
                <w:szCs w:val="20"/>
              </w:rPr>
            </w:pPr>
            <w:r>
              <w:rPr>
                <w:rFonts w:eastAsia="宋体" w:cs="Times New Roman"/>
                <w:b/>
                <w:bCs/>
                <w:color w:val="000000"/>
                <w:sz w:val="20"/>
                <w:szCs w:val="20"/>
              </w:rPr>
              <w:t>合计</w:t>
            </w:r>
          </w:p>
        </w:tc>
        <w:tc>
          <w:tcPr>
            <w:tcW w:w="573" w:type="pct"/>
            <w:shd w:val="clear" w:color="auto" w:fill="auto"/>
            <w:vAlign w:val="center"/>
          </w:tcPr>
          <w:p w14:paraId="496340FD">
            <w:pPr>
              <w:widowControl/>
              <w:spacing w:line="240" w:lineRule="auto"/>
              <w:ind w:firstLine="0" w:firstLineChars="0"/>
              <w:jc w:val="center"/>
              <w:rPr>
                <w:rFonts w:eastAsia="宋体" w:cs="Times New Roman"/>
                <w:b/>
                <w:bCs/>
                <w:color w:val="000000"/>
                <w:sz w:val="20"/>
                <w:szCs w:val="20"/>
              </w:rPr>
            </w:pPr>
            <w:r>
              <w:rPr>
                <w:rFonts w:eastAsia="宋体" w:cs="Times New Roman"/>
                <w:b/>
                <w:bCs/>
                <w:color w:val="000000"/>
                <w:sz w:val="20"/>
                <w:szCs w:val="20"/>
              </w:rPr>
              <w:t>70.00</w:t>
            </w:r>
          </w:p>
        </w:tc>
        <w:tc>
          <w:tcPr>
            <w:tcW w:w="401" w:type="pct"/>
            <w:shd w:val="clear" w:color="auto" w:fill="auto"/>
            <w:noWrap/>
            <w:vAlign w:val="center"/>
          </w:tcPr>
          <w:p w14:paraId="7FC0F8F5">
            <w:pPr>
              <w:widowControl/>
              <w:spacing w:line="240" w:lineRule="auto"/>
              <w:ind w:firstLine="0" w:firstLineChars="0"/>
              <w:jc w:val="center"/>
              <w:rPr>
                <w:rFonts w:eastAsia="宋体" w:cs="Times New Roman"/>
                <w:b/>
                <w:bCs/>
                <w:color w:val="000000"/>
                <w:sz w:val="20"/>
                <w:szCs w:val="20"/>
              </w:rPr>
            </w:pPr>
            <w:r>
              <w:rPr>
                <w:rFonts w:eastAsia="宋体" w:cs="Times New Roman"/>
                <w:b/>
                <w:bCs/>
                <w:color w:val="000000"/>
                <w:sz w:val="20"/>
                <w:szCs w:val="20"/>
              </w:rPr>
              <w:t>65.00</w:t>
            </w:r>
          </w:p>
        </w:tc>
        <w:tc>
          <w:tcPr>
            <w:tcW w:w="545" w:type="pct"/>
            <w:shd w:val="clear" w:color="auto" w:fill="auto"/>
            <w:noWrap/>
            <w:vAlign w:val="center"/>
          </w:tcPr>
          <w:p w14:paraId="291BC10C">
            <w:pPr>
              <w:widowControl/>
              <w:spacing w:line="240" w:lineRule="auto"/>
              <w:ind w:firstLine="0" w:firstLineChars="0"/>
              <w:jc w:val="center"/>
              <w:rPr>
                <w:rFonts w:eastAsia="宋体" w:cs="Times New Roman"/>
                <w:b/>
                <w:bCs/>
                <w:color w:val="000000"/>
                <w:sz w:val="20"/>
                <w:szCs w:val="20"/>
              </w:rPr>
            </w:pPr>
            <w:r>
              <w:rPr>
                <w:rFonts w:eastAsia="宋体" w:cs="Times New Roman"/>
                <w:b/>
                <w:bCs/>
                <w:color w:val="000000"/>
                <w:sz w:val="20"/>
                <w:szCs w:val="20"/>
              </w:rPr>
              <w:t>92.86%</w:t>
            </w:r>
          </w:p>
        </w:tc>
      </w:tr>
    </w:tbl>
    <w:p w14:paraId="5C38F0E4">
      <w:pPr>
        <w:pStyle w:val="20"/>
        <w:spacing w:before="0" w:beforeAutospacing="0" w:after="0" w:afterAutospacing="0" w:line="555" w:lineRule="atLeast"/>
        <w:ind w:firstLine="640"/>
        <w:jc w:val="both"/>
        <w:textAlignment w:val="baseline"/>
        <w:rPr>
          <w:rFonts w:ascii="Times New Roman" w:hAnsi="Times New Roman" w:eastAsia="仿宋_GB2312" w:cs="Times New Roman"/>
          <w:b/>
          <w:bCs/>
          <w:sz w:val="32"/>
        </w:rPr>
      </w:pPr>
      <w:bookmarkStart w:id="33" w:name="_Toc76938449"/>
    </w:p>
    <w:p w14:paraId="0F7E4D19">
      <w:pPr>
        <w:pStyle w:val="4"/>
        <w:spacing w:before="120" w:after="120" w:line="600" w:lineRule="exact"/>
        <w:ind w:firstLine="643" w:firstLineChars="200"/>
        <w:rPr>
          <w:rFonts w:ascii="Times New Roman" w:hAnsi="Times New Roman" w:eastAsia="仿宋_GB2312" w:cs="Times New Roman"/>
          <w:sz w:val="32"/>
        </w:rPr>
      </w:pPr>
      <w:bookmarkStart w:id="34" w:name="_Toc77784253"/>
      <w:r>
        <w:rPr>
          <w:rFonts w:hint="eastAsia" w:ascii="Times New Roman" w:hAnsi="Times New Roman" w:eastAsia="仿宋_GB2312" w:cs="Times New Roman"/>
          <w:sz w:val="32"/>
        </w:rPr>
        <w:t>1</w:t>
      </w:r>
      <w:r>
        <w:rPr>
          <w:rFonts w:ascii="Times New Roman" w:hAnsi="Times New Roman" w:eastAsia="仿宋_GB2312" w:cs="Times New Roman"/>
          <w:sz w:val="32"/>
        </w:rPr>
        <w:t>.</w:t>
      </w:r>
      <w:r>
        <w:rPr>
          <w:rFonts w:hint="eastAsia" w:ascii="Times New Roman" w:hAnsi="Times New Roman" w:eastAsia="仿宋_GB2312" w:cs="Times New Roman"/>
          <w:sz w:val="32"/>
        </w:rPr>
        <w:t>不动产登记</w:t>
      </w:r>
      <w:bookmarkEnd w:id="33"/>
      <w:bookmarkEnd w:id="34"/>
    </w:p>
    <w:p w14:paraId="7B606BA1">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不动产登记下设提升不动产登记率1项三级指标。不动产登记率权重6.00分，</w:t>
      </w:r>
      <w:r>
        <w:rPr>
          <w:rFonts w:hint="eastAsia" w:ascii="Times New Roman" w:hAnsi="Times New Roman" w:eastAsia="仿宋_GB2312" w:cs="Times New Roman"/>
          <w:color w:val="000000" w:themeColor="text1"/>
          <w:sz w:val="32"/>
          <w:szCs w:val="32"/>
        </w:rPr>
        <w:t>实际</w:t>
      </w:r>
      <w:r>
        <w:rPr>
          <w:rFonts w:ascii="Times New Roman" w:hAnsi="Times New Roman" w:eastAsia="仿宋_GB2312" w:cs="Times New Roman"/>
          <w:color w:val="000000" w:themeColor="text1"/>
          <w:sz w:val="32"/>
          <w:szCs w:val="32"/>
        </w:rPr>
        <w:t>得分6.00分，得分率100.00%</w:t>
      </w:r>
      <w:r>
        <w:rPr>
          <w:rFonts w:hint="eastAsia" w:ascii="Times New Roman" w:hAnsi="Times New Roman" w:eastAsia="仿宋_GB2312" w:cs="Times New Roman"/>
          <w:color w:val="000000" w:themeColor="text1"/>
          <w:sz w:val="32"/>
          <w:szCs w:val="32"/>
        </w:rPr>
        <w:t>。</w:t>
      </w:r>
      <w:r>
        <w:rPr>
          <w:rFonts w:ascii="Times New Roman" w:hAnsi="Times New Roman" w:eastAsia="仿宋_GB2312" w:cs="Times New Roman"/>
          <w:color w:val="000000" w:themeColor="text1"/>
          <w:sz w:val="32"/>
          <w:szCs w:val="32"/>
        </w:rPr>
        <w:t>绵竹市2019年不动产登记17550件，2020年登记18025件，较2019年，绵竹市不动产登记率提升2.70%，故未扣分。</w:t>
      </w:r>
    </w:p>
    <w:p w14:paraId="3D0DFE7E">
      <w:pPr>
        <w:pStyle w:val="4"/>
        <w:spacing w:before="120" w:after="120" w:line="600" w:lineRule="exact"/>
        <w:ind w:firstLine="643" w:firstLineChars="200"/>
        <w:rPr>
          <w:rFonts w:ascii="Times New Roman" w:hAnsi="Times New Roman" w:eastAsia="仿宋_GB2312" w:cs="Times New Roman"/>
          <w:sz w:val="32"/>
        </w:rPr>
      </w:pPr>
      <w:bookmarkStart w:id="35" w:name="_Toc77784254"/>
      <w:bookmarkStart w:id="36" w:name="_Toc76938450"/>
      <w:r>
        <w:rPr>
          <w:rFonts w:ascii="Times New Roman" w:hAnsi="Times New Roman" w:eastAsia="仿宋_GB2312" w:cs="Times New Roman"/>
          <w:sz w:val="32"/>
        </w:rPr>
        <w:t>2.灾害防治</w:t>
      </w:r>
      <w:bookmarkEnd w:id="35"/>
      <w:bookmarkEnd w:id="36"/>
    </w:p>
    <w:p w14:paraId="5CE8FD1E">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灾害防治下设地质灾害防治、森林防火2项三级指标。</w:t>
      </w:r>
    </w:p>
    <w:p w14:paraId="71433D77">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（1）地质灾害防治</w:t>
      </w:r>
    </w:p>
    <w:p w14:paraId="3B99E8B4">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地质灾害防治权重4.00分，实际得分4.00分，得分率100.00%。自然资源和规划局于2020年5月出具汛前排查报告，9月出具汛中核查报告，12月出具汛后核查报告，并于2020年底出具2020年地质灾害防治技术服务年度总结报告</w:t>
      </w:r>
      <w:r>
        <w:rPr>
          <w:rFonts w:hint="eastAsia" w:ascii="Times New Roman" w:hAnsi="Times New Roman" w:eastAsia="仿宋_GB2312" w:cs="Times New Roman"/>
          <w:color w:val="000000" w:themeColor="text1"/>
          <w:sz w:val="32"/>
          <w:szCs w:val="32"/>
        </w:rPr>
        <w:t>。</w:t>
      </w:r>
      <w:r>
        <w:rPr>
          <w:rFonts w:ascii="Times New Roman" w:hAnsi="Times New Roman" w:eastAsia="仿宋_GB2312" w:cs="Times New Roman"/>
          <w:color w:val="000000" w:themeColor="text1"/>
          <w:sz w:val="32"/>
          <w:szCs w:val="32"/>
        </w:rPr>
        <w:t>2020年绵阳市地质灾害防治工作落实情况较好，故未扣分。</w:t>
      </w:r>
    </w:p>
    <w:p w14:paraId="1A811F94">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（2）森林防火指标</w:t>
      </w:r>
    </w:p>
    <w:p w14:paraId="66A5309A">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森林防火权重4.00分，实际得分4.00分，得分率100.00%。绵竹市近32年内未发生森林火灾，无人员伤亡，故未扣分。</w:t>
      </w:r>
    </w:p>
    <w:p w14:paraId="6A467ADB">
      <w:pPr>
        <w:pStyle w:val="4"/>
        <w:spacing w:before="120" w:after="120" w:line="600" w:lineRule="exact"/>
        <w:ind w:firstLine="643" w:firstLineChars="200"/>
        <w:rPr>
          <w:rFonts w:ascii="Times New Roman" w:hAnsi="Times New Roman" w:eastAsia="仿宋_GB2312" w:cs="Times New Roman"/>
          <w:sz w:val="32"/>
        </w:rPr>
      </w:pPr>
      <w:bookmarkStart w:id="37" w:name="_Toc77784255"/>
      <w:bookmarkStart w:id="38" w:name="_Toc76938451"/>
      <w:r>
        <w:rPr>
          <w:rFonts w:ascii="Times New Roman" w:hAnsi="Times New Roman" w:eastAsia="仿宋_GB2312" w:cs="Times New Roman"/>
          <w:sz w:val="32"/>
        </w:rPr>
        <w:t>3.统筹用地</w:t>
      </w:r>
      <w:bookmarkEnd w:id="37"/>
      <w:bookmarkEnd w:id="38"/>
    </w:p>
    <w:p w14:paraId="2CE40784">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统筹用地下设统筹安排各类各业用地、重点项目用地、推进大熊猫国家公园创新示范区项目3项三级指标。</w:t>
      </w:r>
    </w:p>
    <w:p w14:paraId="43011245">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（1）统筹安排各类各业用地指标</w:t>
      </w:r>
    </w:p>
    <w:p w14:paraId="1B26A734">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统筹安排各类各业用地权重4.00分，得分4.00分，得分率100.00%。根据《中华人民共和国城乡规划法》、建设部《城市规划编制法》、国家相关法规以及绵竹市的实际情况，为将绵竹建成“产业发达、功能完备、生态优宜、城乡一体”的现代中等城市，绵竹市设立了长期城市总体规划，合理统筹安排各类各业用地，故未扣分。</w:t>
      </w:r>
    </w:p>
    <w:p w14:paraId="34E929F7">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（2）重点项目用地</w:t>
      </w:r>
    </w:p>
    <w:p w14:paraId="6FFBCBC8">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重点项目用地权重3.00分，得分3.00分，得分率100.00%。绵竹市2020年共计六个重点项目，分别为土门香氛小镇、土门月季园、湿地公园、新市物流园、德阿产业园、九绵园。六个重点项目用地保障到位，且均有建设用地批复等相关保障机制措施，截止评价日，六个项目均已完成用地方面的工作，进入工程建设阶段，故未扣分。</w:t>
      </w:r>
    </w:p>
    <w:p w14:paraId="29C5BCCE">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（3）推进大熊猫国家公园创新示范区项目</w:t>
      </w:r>
    </w:p>
    <w:p w14:paraId="21E8FC23">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推进</w:t>
      </w:r>
      <w:bookmarkStart w:id="39" w:name="_Hlk76911072"/>
      <w:r>
        <w:rPr>
          <w:rFonts w:ascii="Times New Roman" w:hAnsi="Times New Roman" w:eastAsia="仿宋_GB2312" w:cs="Times New Roman"/>
          <w:color w:val="000000" w:themeColor="text1"/>
          <w:sz w:val="32"/>
          <w:szCs w:val="32"/>
        </w:rPr>
        <w:t>大熊猫国家公园创新示范区项目</w:t>
      </w:r>
      <w:bookmarkEnd w:id="39"/>
      <w:r>
        <w:rPr>
          <w:rFonts w:ascii="Times New Roman" w:hAnsi="Times New Roman" w:eastAsia="仿宋_GB2312" w:cs="Times New Roman"/>
          <w:color w:val="000000" w:themeColor="text1"/>
          <w:sz w:val="32"/>
          <w:szCs w:val="32"/>
        </w:rPr>
        <w:t>权重3.00分，得分3.00分，得分率100.00%。截止评价日，大熊猫国家公园创新示范区项目已完成征地方案、项目方案、</w:t>
      </w:r>
      <w:r>
        <w:rPr>
          <w:rFonts w:hint="eastAsia" w:ascii="Times New Roman" w:hAnsi="Times New Roman" w:eastAsia="仿宋_GB2312" w:cs="Times New Roman"/>
          <w:color w:val="000000" w:themeColor="text1"/>
          <w:sz w:val="32"/>
          <w:szCs w:val="32"/>
        </w:rPr>
        <w:t>可行性研究</w:t>
      </w:r>
      <w:r>
        <w:rPr>
          <w:rFonts w:ascii="Times New Roman" w:hAnsi="Times New Roman" w:eastAsia="仿宋_GB2312" w:cs="Times New Roman"/>
          <w:color w:val="000000" w:themeColor="text1"/>
          <w:sz w:val="32"/>
          <w:szCs w:val="32"/>
        </w:rPr>
        <w:t>报告等材料的编制，故未扣分。</w:t>
      </w:r>
    </w:p>
    <w:p w14:paraId="021D8144">
      <w:pPr>
        <w:pStyle w:val="4"/>
        <w:spacing w:before="120" w:after="120" w:line="600" w:lineRule="exact"/>
        <w:ind w:firstLine="643" w:firstLineChars="200"/>
        <w:rPr>
          <w:rFonts w:ascii="Times New Roman" w:hAnsi="Times New Roman" w:eastAsia="仿宋_GB2312" w:cs="Times New Roman"/>
          <w:sz w:val="32"/>
        </w:rPr>
      </w:pPr>
      <w:bookmarkStart w:id="40" w:name="_Toc76938452"/>
      <w:bookmarkStart w:id="41" w:name="_Toc77784256"/>
      <w:r>
        <w:rPr>
          <w:rFonts w:ascii="Times New Roman" w:hAnsi="Times New Roman" w:eastAsia="仿宋_GB2312" w:cs="Times New Roman"/>
          <w:sz w:val="32"/>
        </w:rPr>
        <w:t>4.绿色发展</w:t>
      </w:r>
      <w:bookmarkEnd w:id="40"/>
      <w:bookmarkEnd w:id="41"/>
    </w:p>
    <w:p w14:paraId="40F4CA2C">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绿色发展下设永久基本农田储备划定工作完成率、永久基本农田划定成果核实整改工作完成率、开展大规模绿化行动</w:t>
      </w:r>
      <w:r>
        <w:rPr>
          <w:rFonts w:hint="eastAsia" w:ascii="Times New Roman" w:hAnsi="Times New Roman" w:eastAsia="仿宋_GB2312" w:cs="Times New Roman"/>
          <w:color w:val="000000" w:themeColor="text1"/>
          <w:sz w:val="32"/>
          <w:szCs w:val="32"/>
        </w:rPr>
        <w:t>工作完成率</w:t>
      </w:r>
      <w:r>
        <w:rPr>
          <w:rFonts w:ascii="Times New Roman" w:hAnsi="Times New Roman" w:eastAsia="仿宋_GB2312" w:cs="Times New Roman"/>
          <w:color w:val="000000" w:themeColor="text1"/>
          <w:sz w:val="32"/>
          <w:szCs w:val="32"/>
        </w:rPr>
        <w:t>以及提升野生动物收容救助率4项三级指标。</w:t>
      </w:r>
      <w:bookmarkStart w:id="42" w:name="_Hlk76930736"/>
    </w:p>
    <w:bookmarkEnd w:id="42"/>
    <w:p w14:paraId="09FCC3DF">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（1）永久基本农田储备划定工作完成率</w:t>
      </w:r>
    </w:p>
    <w:p w14:paraId="40F2E9E0">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bookmarkStart w:id="43" w:name="_Hlk76911264"/>
      <w:r>
        <w:rPr>
          <w:rFonts w:ascii="Times New Roman" w:hAnsi="Times New Roman" w:eastAsia="仿宋_GB2312" w:cs="Times New Roman"/>
          <w:color w:val="000000" w:themeColor="text1"/>
          <w:sz w:val="32"/>
          <w:szCs w:val="32"/>
        </w:rPr>
        <w:t>永久基本农田储备划定工作</w:t>
      </w:r>
      <w:bookmarkEnd w:id="43"/>
      <w:r>
        <w:rPr>
          <w:rFonts w:ascii="Times New Roman" w:hAnsi="Times New Roman" w:eastAsia="仿宋_GB2312" w:cs="Times New Roman"/>
          <w:color w:val="000000" w:themeColor="text1"/>
          <w:sz w:val="32"/>
          <w:szCs w:val="32"/>
        </w:rPr>
        <w:t>完成率权重4.00分，得分4.00分，得分率100.00%。截止评价日，永久基本农田储备已完成划定，工作完成率100.00%，故未扣分。</w:t>
      </w:r>
    </w:p>
    <w:p w14:paraId="42030221">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（2）永久基本农田划定成果核实整改工作完成率</w:t>
      </w:r>
    </w:p>
    <w:p w14:paraId="087577F8">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永久基本农田划定成果核实整改工作完成率权重4.00分，得分0.00分。截止评价日，永久基本农田储备划定工作成果已上报自然资源部</w:t>
      </w:r>
      <w:r>
        <w:rPr>
          <w:rFonts w:hint="eastAsia" w:ascii="Times New Roman" w:hAnsi="Times New Roman" w:eastAsia="仿宋_GB2312" w:cs="Times New Roman"/>
          <w:color w:val="000000" w:themeColor="text1"/>
          <w:sz w:val="32"/>
          <w:szCs w:val="32"/>
        </w:rPr>
        <w:t>，部级尚未批复，遂</w:t>
      </w:r>
      <w:r>
        <w:rPr>
          <w:rFonts w:ascii="Times New Roman" w:hAnsi="Times New Roman" w:eastAsia="仿宋_GB2312" w:cs="Times New Roman"/>
          <w:color w:val="000000" w:themeColor="text1"/>
          <w:sz w:val="32"/>
          <w:szCs w:val="32"/>
        </w:rPr>
        <w:t>未开展成果核实整改工作，故扣4.00分。</w:t>
      </w:r>
    </w:p>
    <w:p w14:paraId="1D881F9D">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（3）开展大规模绿化行动工作完成率</w:t>
      </w:r>
    </w:p>
    <w:p w14:paraId="0A319E8F">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开展大规模绿化行动工作完成率权重4.00分，实际得分3.00分，得分率75.00%。绵竹市自然资源和规划局2020年计划开展四项大规模绿化行动，分别为绿化示范点监测项目、沙化监测工作、退耕还林生态林抚育补助项目、慈竹7号引种项目。其中，第六次沙化监测工作原计划于2020年第三季度完成数据的整理统计分析撰写报告组织成果审定和上报，截止评价日，相关工作未完成，整体完成率75.00%，故扣1.00分。</w:t>
      </w:r>
    </w:p>
    <w:p w14:paraId="2C9C833B">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（4）提升野生动物收容救助率</w:t>
      </w:r>
    </w:p>
    <w:p w14:paraId="0B633984">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提升野生动物收容救助率权重4.00分，</w:t>
      </w:r>
      <w:r>
        <w:rPr>
          <w:rFonts w:hint="eastAsia" w:ascii="Times New Roman" w:hAnsi="Times New Roman" w:eastAsia="仿宋_GB2312" w:cs="Times New Roman"/>
          <w:color w:val="000000" w:themeColor="text1"/>
          <w:sz w:val="32"/>
          <w:szCs w:val="32"/>
        </w:rPr>
        <w:t>实际</w:t>
      </w:r>
      <w:r>
        <w:rPr>
          <w:rFonts w:ascii="Times New Roman" w:hAnsi="Times New Roman" w:eastAsia="仿宋_GB2312" w:cs="Times New Roman"/>
          <w:color w:val="000000" w:themeColor="text1"/>
          <w:sz w:val="32"/>
          <w:szCs w:val="32"/>
        </w:rPr>
        <w:t>得分4.00分，得分率100.00%。绵竹市2019年开展</w:t>
      </w:r>
      <w:bookmarkStart w:id="44" w:name="_Hlk76911568"/>
      <w:r>
        <w:rPr>
          <w:rFonts w:ascii="Times New Roman" w:hAnsi="Times New Roman" w:eastAsia="仿宋_GB2312" w:cs="Times New Roman"/>
          <w:color w:val="000000" w:themeColor="text1"/>
          <w:sz w:val="32"/>
          <w:szCs w:val="32"/>
        </w:rPr>
        <w:t>野生动物收容救治行动</w:t>
      </w:r>
      <w:bookmarkEnd w:id="44"/>
      <w:r>
        <w:rPr>
          <w:rFonts w:ascii="Times New Roman" w:hAnsi="Times New Roman" w:eastAsia="仿宋_GB2312" w:cs="Times New Roman"/>
          <w:color w:val="000000" w:themeColor="text1"/>
          <w:sz w:val="32"/>
          <w:szCs w:val="32"/>
        </w:rPr>
        <w:t>24次，2020年开展野生动物收容救治行动35次，收容救助率提升45.83%，故未扣分。</w:t>
      </w:r>
    </w:p>
    <w:p w14:paraId="78A23093">
      <w:pPr>
        <w:pStyle w:val="4"/>
        <w:spacing w:before="120" w:after="120" w:line="600" w:lineRule="exact"/>
        <w:ind w:firstLine="643" w:firstLineChars="200"/>
        <w:rPr>
          <w:rFonts w:ascii="Times New Roman" w:hAnsi="Times New Roman" w:eastAsia="仿宋_GB2312" w:cs="Times New Roman"/>
          <w:sz w:val="32"/>
        </w:rPr>
      </w:pPr>
      <w:bookmarkStart w:id="45" w:name="_Toc77784257"/>
      <w:bookmarkStart w:id="46" w:name="_Toc76938453"/>
      <w:r>
        <w:rPr>
          <w:rFonts w:ascii="Times New Roman" w:hAnsi="Times New Roman" w:eastAsia="仿宋_GB2312" w:cs="Times New Roman"/>
          <w:sz w:val="32"/>
        </w:rPr>
        <w:t>5.卫片执法</w:t>
      </w:r>
      <w:bookmarkEnd w:id="45"/>
      <w:bookmarkEnd w:id="46"/>
    </w:p>
    <w:p w14:paraId="012E7D61">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卫片执法下设法律法规宣传、动态巡察2项三级指标。</w:t>
      </w:r>
    </w:p>
    <w:p w14:paraId="6F8C9D05">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（1）法律法规宣传</w:t>
      </w:r>
    </w:p>
    <w:p w14:paraId="0070BE29">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法律法规宣传权重4.00分，</w:t>
      </w:r>
      <w:r>
        <w:rPr>
          <w:rFonts w:hint="eastAsia" w:ascii="Times New Roman" w:hAnsi="Times New Roman" w:eastAsia="仿宋_GB2312" w:cs="Times New Roman"/>
          <w:color w:val="000000" w:themeColor="text1"/>
          <w:sz w:val="32"/>
          <w:szCs w:val="32"/>
        </w:rPr>
        <w:t>实际</w:t>
      </w:r>
      <w:r>
        <w:rPr>
          <w:rFonts w:ascii="Times New Roman" w:hAnsi="Times New Roman" w:eastAsia="仿宋_GB2312" w:cs="Times New Roman"/>
          <w:color w:val="000000" w:themeColor="text1"/>
          <w:sz w:val="32"/>
          <w:szCs w:val="32"/>
        </w:rPr>
        <w:t>得分4.00分，得分率100.00%。绵竹市采取线上宣传与线下宣传相结合的方式进行相关法律法规宣传，线上采取投放宣传视频等方式进行宣传，线下组织开展了“4.22世界地球日”、“6.25全国土地日系列宣传活动”、“12.4国家宪法日集中宣传活动”以及科技文化宣传“三下乡”等活动，以“法律七进”为载体，宣传自然资源法律法规，故未扣分。</w:t>
      </w:r>
    </w:p>
    <w:p w14:paraId="003BD4C9">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（2）动态巡察</w:t>
      </w:r>
    </w:p>
    <w:p w14:paraId="125EC4BE">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动态巡察权重4.00分，</w:t>
      </w:r>
      <w:r>
        <w:rPr>
          <w:rFonts w:hint="eastAsia" w:ascii="Times New Roman" w:hAnsi="Times New Roman" w:eastAsia="仿宋_GB2312" w:cs="Times New Roman"/>
          <w:color w:val="000000" w:themeColor="text1"/>
          <w:sz w:val="32"/>
          <w:szCs w:val="32"/>
        </w:rPr>
        <w:t>实际</w:t>
      </w:r>
      <w:r>
        <w:rPr>
          <w:rFonts w:ascii="Times New Roman" w:hAnsi="Times New Roman" w:eastAsia="仿宋_GB2312" w:cs="Times New Roman"/>
          <w:color w:val="000000" w:themeColor="text1"/>
          <w:sz w:val="32"/>
          <w:szCs w:val="32"/>
        </w:rPr>
        <w:t>得分4.00分，得分率100.00%。执法大队平均每月巡查20次以上，有效履行卫片执法的职能，故未扣分。</w:t>
      </w:r>
    </w:p>
    <w:p w14:paraId="58AE61F5">
      <w:pPr>
        <w:pStyle w:val="4"/>
        <w:spacing w:before="120" w:after="120" w:line="600" w:lineRule="exact"/>
        <w:ind w:firstLine="643" w:firstLineChars="200"/>
        <w:rPr>
          <w:rFonts w:ascii="Times New Roman" w:hAnsi="Times New Roman" w:eastAsia="仿宋_GB2312" w:cs="Times New Roman"/>
          <w:sz w:val="32"/>
        </w:rPr>
      </w:pPr>
      <w:bookmarkStart w:id="47" w:name="_Toc77784258"/>
      <w:bookmarkStart w:id="48" w:name="_Toc76938454"/>
      <w:r>
        <w:rPr>
          <w:rFonts w:ascii="Times New Roman" w:hAnsi="Times New Roman" w:eastAsia="仿宋_GB2312" w:cs="Times New Roman"/>
          <w:sz w:val="32"/>
        </w:rPr>
        <w:t>6.廉政建设与意识形态工作</w:t>
      </w:r>
      <w:bookmarkEnd w:id="47"/>
      <w:bookmarkEnd w:id="48"/>
    </w:p>
    <w:p w14:paraId="34F0D988">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廉政建设与意识形态工作下设压紧管党治党政治责任、加强廉政风险防控2项三级指标。</w:t>
      </w:r>
    </w:p>
    <w:p w14:paraId="16D614F8">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（1）压紧管党治党政治责任</w:t>
      </w:r>
    </w:p>
    <w:p w14:paraId="2DEF2A6A">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压紧管党治党政治责任权重4.00分，实际得分4.00分，得分率100.00%。部门党组印发了《中共绵竹市自然资源和规划局党组关于印发&lt;关于推进2020年全面从严治党、党风廉政建设和反腐败工作的实施意见&gt;的通知》（竹自然资党组〔2020〕19号），深入贯彻落实新时代党的建设总要求和党中央全面从严治党的方针，故未扣分。</w:t>
      </w:r>
    </w:p>
    <w:p w14:paraId="4B3AE073">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（2）加强廉政风险防控</w:t>
      </w:r>
    </w:p>
    <w:p w14:paraId="2CC1819B">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加强廉政风险防控权重4.00分，实际得分4.00分，得分率100.00%。绵竹市自然资源和规划局2020年开展集体廉政谈话3次，进一步加强了党风廉政建设，故未扣分。</w:t>
      </w:r>
    </w:p>
    <w:p w14:paraId="1695EB62">
      <w:pPr>
        <w:pStyle w:val="4"/>
        <w:spacing w:before="120" w:after="120" w:line="600" w:lineRule="exact"/>
        <w:ind w:firstLine="643" w:firstLineChars="200"/>
        <w:rPr>
          <w:rFonts w:ascii="Times New Roman" w:hAnsi="Times New Roman" w:eastAsia="仿宋_GB2312" w:cs="Times New Roman"/>
          <w:sz w:val="32"/>
        </w:rPr>
      </w:pPr>
      <w:bookmarkStart w:id="49" w:name="_Toc76938455"/>
      <w:bookmarkStart w:id="50" w:name="_Toc77784259"/>
      <w:r>
        <w:rPr>
          <w:rFonts w:ascii="Times New Roman" w:hAnsi="Times New Roman" w:eastAsia="仿宋_GB2312" w:cs="Times New Roman"/>
          <w:sz w:val="32"/>
        </w:rPr>
        <w:t>7.土地基金收入</w:t>
      </w:r>
      <w:bookmarkEnd w:id="49"/>
      <w:bookmarkEnd w:id="50"/>
    </w:p>
    <w:p w14:paraId="1073BA70">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土地基金收入下设完成2020年土地基金收入任务完成率单个指标，权重6.00分，实际得分6.00分，得分率100.00%。2020年绵竹市土地基金收入目标7.13亿，实际收入7.13亿，任务完成率100%，故未扣分。</w:t>
      </w:r>
    </w:p>
    <w:p w14:paraId="42C41821">
      <w:pPr>
        <w:pStyle w:val="4"/>
        <w:spacing w:before="120" w:after="120" w:line="600" w:lineRule="exact"/>
        <w:ind w:firstLine="643" w:firstLineChars="200"/>
        <w:rPr>
          <w:rFonts w:ascii="Times New Roman" w:hAnsi="Times New Roman" w:eastAsia="仿宋_GB2312" w:cs="Times New Roman"/>
          <w:sz w:val="32"/>
        </w:rPr>
      </w:pPr>
      <w:bookmarkStart w:id="51" w:name="_Toc76938456"/>
      <w:bookmarkStart w:id="52" w:name="_Toc77784260"/>
      <w:r>
        <w:rPr>
          <w:rFonts w:ascii="Times New Roman" w:hAnsi="Times New Roman" w:eastAsia="仿宋_GB2312" w:cs="Times New Roman"/>
          <w:sz w:val="32"/>
        </w:rPr>
        <w:t>8.专项整治</w:t>
      </w:r>
      <w:bookmarkEnd w:id="51"/>
      <w:bookmarkEnd w:id="52"/>
    </w:p>
    <w:p w14:paraId="77DE81BA">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专项整治下设大棚房专项清理整治和违建别墅专项清理整治2项三级指标。</w:t>
      </w:r>
    </w:p>
    <w:p w14:paraId="2E23B14F">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（1）大棚房专项清理整治</w:t>
      </w:r>
    </w:p>
    <w:p w14:paraId="2A55FD8A">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大棚房专项清理整治权重4.00分，得分4.00分，得分率100.00%。2020年</w:t>
      </w:r>
      <w:r>
        <w:rPr>
          <w:rFonts w:hint="eastAsia" w:ascii="Times New Roman" w:hAnsi="Times New Roman" w:eastAsia="仿宋_GB2312" w:cs="Times New Roman"/>
          <w:color w:val="000000" w:themeColor="text1"/>
          <w:sz w:val="32"/>
          <w:szCs w:val="32"/>
        </w:rPr>
        <w:t>自然资源和规划局</w:t>
      </w:r>
      <w:r>
        <w:rPr>
          <w:rFonts w:ascii="Times New Roman" w:hAnsi="Times New Roman" w:eastAsia="仿宋_GB2312" w:cs="Times New Roman"/>
          <w:color w:val="000000" w:themeColor="text1"/>
          <w:sz w:val="32"/>
          <w:szCs w:val="32"/>
        </w:rPr>
        <w:t>开展</w:t>
      </w:r>
      <w:r>
        <w:rPr>
          <w:rFonts w:hint="eastAsia" w:ascii="Times New Roman" w:hAnsi="Times New Roman" w:eastAsia="仿宋_GB2312" w:cs="Times New Roman"/>
          <w:color w:val="000000" w:themeColor="text1"/>
          <w:sz w:val="32"/>
          <w:szCs w:val="32"/>
        </w:rPr>
        <w:t>了</w:t>
      </w:r>
      <w:r>
        <w:rPr>
          <w:rFonts w:ascii="Times New Roman" w:hAnsi="Times New Roman" w:eastAsia="仿宋_GB2312" w:cs="Times New Roman"/>
          <w:color w:val="000000" w:themeColor="text1"/>
          <w:sz w:val="32"/>
          <w:szCs w:val="32"/>
        </w:rPr>
        <w:t>绵竹市大棚房问题专项清理整治行动，组织推进确保真拆实改，对于群众举报线索进行排查，均得到妥善处理，故未扣分。</w:t>
      </w:r>
    </w:p>
    <w:p w14:paraId="3FEC68CE">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（2）违建别墅专项清理整治</w:t>
      </w:r>
    </w:p>
    <w:p w14:paraId="6B7D8039">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违建别墅专项清理整治权重4.00分，得分4.00分，得分率100.00%。绵竹市相关部门成立领导小组，召开违建别墅清查整治工作研判会并开展绵竹市违建别墅问题清查整治专项行动。截止2020年3月共计清理违建别墅3个，其中采取拆除措施2个，采取既没收并罚款1个，故未扣分。</w:t>
      </w:r>
    </w:p>
    <w:p w14:paraId="48ACFF4C">
      <w:pPr>
        <w:pStyle w:val="2"/>
        <w:spacing w:line="600" w:lineRule="exact"/>
        <w:ind w:firstLine="640" w:firstLineChars="200"/>
        <w:jc w:val="both"/>
        <w:rPr>
          <w:rFonts w:cs="Times New Roman"/>
          <w:b w:val="0"/>
          <w:bCs w:val="0"/>
          <w:sz w:val="32"/>
          <w:szCs w:val="32"/>
        </w:rPr>
      </w:pPr>
      <w:bookmarkStart w:id="53" w:name="_Toc77784261"/>
      <w:r>
        <w:rPr>
          <w:rFonts w:cs="Times New Roman"/>
          <w:b w:val="0"/>
          <w:bCs w:val="0"/>
          <w:sz w:val="32"/>
          <w:szCs w:val="32"/>
        </w:rPr>
        <w:t>五、评价结论及措施</w:t>
      </w:r>
      <w:bookmarkEnd w:id="53"/>
    </w:p>
    <w:p w14:paraId="2FCAD25D">
      <w:pPr>
        <w:pStyle w:val="3"/>
        <w:spacing w:line="600" w:lineRule="exact"/>
        <w:ind w:firstLine="643" w:firstLineChars="200"/>
        <w:jc w:val="both"/>
        <w:rPr>
          <w:rFonts w:eastAsia="楷体_GB2312" w:cs="Times New Roman"/>
          <w:sz w:val="32"/>
        </w:rPr>
      </w:pPr>
      <w:bookmarkStart w:id="54" w:name="_Toc77784262"/>
      <w:r>
        <w:rPr>
          <w:rFonts w:eastAsia="楷体_GB2312" w:cs="Times New Roman"/>
          <w:sz w:val="32"/>
        </w:rPr>
        <w:t>（一）评价结论</w:t>
      </w:r>
      <w:bookmarkEnd w:id="54"/>
    </w:p>
    <w:p w14:paraId="12F505C4">
      <w:pPr>
        <w:spacing w:line="600" w:lineRule="exact"/>
        <w:ind w:firstLine="643"/>
        <w:rPr>
          <w:rFonts w:eastAsia="仿宋_GB2312" w:cs="Times New Roman"/>
          <w:b/>
          <w:bCs/>
          <w:kern w:val="0"/>
          <w:sz w:val="32"/>
          <w:szCs w:val="32"/>
        </w:rPr>
      </w:pPr>
      <w:bookmarkStart w:id="55" w:name="_Toc73927849"/>
      <w:bookmarkStart w:id="56" w:name="_Toc73927502"/>
      <w:r>
        <w:rPr>
          <w:rFonts w:eastAsia="仿宋_GB2312" w:cs="Times New Roman"/>
          <w:b/>
          <w:bCs/>
          <w:kern w:val="0"/>
          <w:sz w:val="32"/>
          <w:szCs w:val="32"/>
        </w:rPr>
        <w:t>2020年绵竹市自然资源和规划局部门整体支出绩效评价得分为88.45分，等级判定为：良</w:t>
      </w:r>
      <w:r>
        <w:rPr>
          <w:rStyle w:val="27"/>
          <w:rFonts w:eastAsia="仿宋_GB2312" w:cs="Times New Roman"/>
          <w:b/>
          <w:bCs/>
          <w:kern w:val="0"/>
          <w:sz w:val="32"/>
          <w:szCs w:val="32"/>
        </w:rPr>
        <w:footnoteReference w:id="0"/>
      </w:r>
      <w:r>
        <w:rPr>
          <w:rFonts w:eastAsia="仿宋_GB2312" w:cs="Times New Roman"/>
          <w:b/>
          <w:bCs/>
          <w:kern w:val="0"/>
          <w:sz w:val="32"/>
          <w:szCs w:val="32"/>
        </w:rPr>
        <w:t>。</w:t>
      </w:r>
      <w:bookmarkEnd w:id="55"/>
      <w:bookmarkEnd w:id="56"/>
    </w:p>
    <w:p w14:paraId="5CEAEAB8">
      <w:pPr>
        <w:pStyle w:val="20"/>
        <w:spacing w:before="0" w:beforeAutospacing="0" w:after="0" w:afterAutospacing="0" w:line="560" w:lineRule="exact"/>
        <w:ind w:firstLine="640" w:firstLineChars="200"/>
        <w:jc w:val="both"/>
        <w:textAlignment w:val="baseline"/>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总体而言，绵竹市自然资源和规划局部门整体履职较好，基本能够按照职能职责及绩效目标要求内容完成任务。但还存在年初预算不够精细，中期预算调整幅度较大、项目绩效目标管理不到位，所有项目效益目标均未达到50%的量化要求、内部管理制度未及时更新，与当前职能职责不完全匹配等问题，有较大优化空间。</w:t>
      </w:r>
    </w:p>
    <w:p w14:paraId="3B3B8FBA">
      <w:pPr>
        <w:pStyle w:val="20"/>
        <w:spacing w:before="0" w:beforeAutospacing="0" w:after="0" w:afterAutospacing="0" w:line="560" w:lineRule="exact"/>
        <w:ind w:firstLine="640" w:firstLineChars="200"/>
        <w:jc w:val="both"/>
        <w:textAlignment w:val="baseline"/>
        <w:rPr>
          <w:rFonts w:eastAsia="仿宋_GB2312" w:cs="Times New Roman"/>
          <w:sz w:val="32"/>
          <w:szCs w:val="32"/>
        </w:rPr>
      </w:pPr>
      <w:r>
        <w:rPr>
          <w:rFonts w:ascii="Times New Roman" w:hAnsi="Times New Roman" w:eastAsia="仿宋_GB2312" w:cs="Times New Roman"/>
          <w:color w:val="000000" w:themeColor="text1"/>
          <w:sz w:val="32"/>
          <w:szCs w:val="32"/>
        </w:rPr>
        <w:t>本次评价综合运用案卷研究、深度访谈、书面评审、现场评价及问卷调查等方法进行多源数据采集，依据评价指标进行打分，一级指标得分情况如下：预算管理10.00分，实际得分9.91分，得分率99.10%；目标管理10.00分，实际得分6.00分，得分率60.00%；部门管理10.00分，实际得分7.50分，得分率75.00%。履职效能70.00分，实际得分65.00分，得分率92.86%。整体指标得分详情如下</w:t>
      </w:r>
      <w:r>
        <w:rPr>
          <w:rFonts w:eastAsia="仿宋_GB2312" w:cs="Times New Roman"/>
          <w:sz w:val="32"/>
          <w:szCs w:val="32"/>
        </w:rPr>
        <w:t>：</w:t>
      </w:r>
    </w:p>
    <w:p w14:paraId="7705A836">
      <w:pPr>
        <w:ind w:firstLine="0" w:firstLineChars="0"/>
        <w:jc w:val="center"/>
        <w:rPr>
          <w:rFonts w:eastAsia="幼圆" w:cs="Times New Roman"/>
          <w:b/>
          <w:bCs/>
        </w:rPr>
      </w:pPr>
      <w:r>
        <w:rPr>
          <w:rFonts w:eastAsia="幼圆" w:cs="Times New Roman"/>
          <w:b/>
          <w:bCs/>
        </w:rPr>
        <w:t>附表2020年绵竹市自然资源和规划局部门整体支出绩效评价得分</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4"/>
        <w:gridCol w:w="1728"/>
        <w:gridCol w:w="2904"/>
        <w:gridCol w:w="706"/>
        <w:gridCol w:w="878"/>
        <w:gridCol w:w="982"/>
      </w:tblGrid>
      <w:tr w14:paraId="17520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blHeader/>
        </w:trPr>
        <w:tc>
          <w:tcPr>
            <w:tcW w:w="3909" w:type="pct"/>
            <w:gridSpan w:val="4"/>
            <w:shd w:val="clear" w:color="auto" w:fill="00516B"/>
            <w:vAlign w:val="center"/>
          </w:tcPr>
          <w:p w14:paraId="2F13110F">
            <w:pPr>
              <w:widowControl/>
              <w:spacing w:line="240" w:lineRule="auto"/>
              <w:ind w:firstLine="0" w:firstLineChars="0"/>
              <w:jc w:val="center"/>
              <w:textAlignment w:val="center"/>
              <w:rPr>
                <w:rFonts w:eastAsia="宋体" w:cs="Times New Roman"/>
                <w:b/>
                <w:bCs/>
                <w:color w:val="FFFFFF"/>
                <w:sz w:val="20"/>
                <w:szCs w:val="20"/>
              </w:rPr>
            </w:pPr>
            <w:r>
              <w:rPr>
                <w:rFonts w:eastAsia="宋体" w:cs="Times New Roman"/>
                <w:b/>
                <w:bCs/>
                <w:color w:val="FFFFFF"/>
                <w:kern w:val="0"/>
                <w:sz w:val="20"/>
                <w:szCs w:val="20"/>
              </w:rPr>
              <w:t>评价指标</w:t>
            </w:r>
          </w:p>
        </w:tc>
        <w:tc>
          <w:tcPr>
            <w:tcW w:w="515" w:type="pct"/>
            <w:vMerge w:val="restart"/>
            <w:shd w:val="clear" w:color="auto" w:fill="00516B"/>
            <w:vAlign w:val="center"/>
          </w:tcPr>
          <w:p w14:paraId="09824697">
            <w:pPr>
              <w:widowControl/>
              <w:spacing w:line="240" w:lineRule="auto"/>
              <w:ind w:firstLine="0" w:firstLineChars="0"/>
              <w:jc w:val="center"/>
              <w:textAlignment w:val="center"/>
              <w:rPr>
                <w:rFonts w:eastAsia="宋体" w:cs="Times New Roman"/>
                <w:b/>
                <w:bCs/>
                <w:color w:val="FFFFFF"/>
                <w:sz w:val="20"/>
                <w:szCs w:val="20"/>
              </w:rPr>
            </w:pPr>
            <w:r>
              <w:rPr>
                <w:rFonts w:eastAsia="宋体" w:cs="Times New Roman"/>
                <w:b/>
                <w:bCs/>
                <w:color w:val="FFFFFF"/>
                <w:kern w:val="0"/>
                <w:sz w:val="20"/>
                <w:szCs w:val="20"/>
              </w:rPr>
              <w:t>得分</w:t>
            </w:r>
          </w:p>
        </w:tc>
        <w:tc>
          <w:tcPr>
            <w:tcW w:w="576" w:type="pct"/>
            <w:vMerge w:val="restart"/>
            <w:shd w:val="clear" w:color="auto" w:fill="00516B"/>
            <w:vAlign w:val="center"/>
          </w:tcPr>
          <w:p w14:paraId="65DAD609">
            <w:pPr>
              <w:widowControl/>
              <w:spacing w:line="240" w:lineRule="auto"/>
              <w:ind w:firstLine="0" w:firstLineChars="0"/>
              <w:jc w:val="center"/>
              <w:textAlignment w:val="center"/>
              <w:rPr>
                <w:rFonts w:eastAsia="宋体" w:cs="Times New Roman"/>
                <w:b/>
                <w:bCs/>
                <w:color w:val="FFFFFF"/>
                <w:sz w:val="20"/>
                <w:szCs w:val="20"/>
              </w:rPr>
            </w:pPr>
            <w:r>
              <w:rPr>
                <w:rFonts w:eastAsia="宋体" w:cs="Times New Roman"/>
                <w:b/>
                <w:bCs/>
                <w:color w:val="FFFFFF"/>
                <w:kern w:val="0"/>
                <w:sz w:val="20"/>
                <w:szCs w:val="20"/>
              </w:rPr>
              <w:t>得分率</w:t>
            </w:r>
          </w:p>
        </w:tc>
      </w:tr>
      <w:tr w14:paraId="7293C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blHeader/>
        </w:trPr>
        <w:tc>
          <w:tcPr>
            <w:tcW w:w="777" w:type="pct"/>
            <w:shd w:val="clear" w:color="auto" w:fill="00516B"/>
            <w:vAlign w:val="center"/>
          </w:tcPr>
          <w:p w14:paraId="40D1ABDB">
            <w:pPr>
              <w:widowControl/>
              <w:spacing w:line="240" w:lineRule="auto"/>
              <w:ind w:firstLine="0" w:firstLineChars="0"/>
              <w:jc w:val="center"/>
              <w:textAlignment w:val="center"/>
              <w:rPr>
                <w:rFonts w:eastAsia="宋体" w:cs="Times New Roman"/>
                <w:b/>
                <w:bCs/>
                <w:color w:val="FFFFFF"/>
                <w:sz w:val="20"/>
                <w:szCs w:val="20"/>
              </w:rPr>
            </w:pPr>
            <w:r>
              <w:rPr>
                <w:rFonts w:eastAsia="宋体" w:cs="Times New Roman"/>
                <w:b/>
                <w:bCs/>
                <w:color w:val="FFFFFF"/>
                <w:kern w:val="0"/>
                <w:sz w:val="20"/>
                <w:szCs w:val="20"/>
              </w:rPr>
              <w:t>一级指标</w:t>
            </w:r>
          </w:p>
        </w:tc>
        <w:tc>
          <w:tcPr>
            <w:tcW w:w="1014" w:type="pct"/>
            <w:shd w:val="clear" w:color="auto" w:fill="00516B"/>
            <w:noWrap/>
            <w:vAlign w:val="center"/>
          </w:tcPr>
          <w:p w14:paraId="46BAD496">
            <w:pPr>
              <w:widowControl/>
              <w:spacing w:line="240" w:lineRule="auto"/>
              <w:ind w:firstLine="0" w:firstLineChars="0"/>
              <w:jc w:val="center"/>
              <w:textAlignment w:val="center"/>
              <w:rPr>
                <w:rFonts w:eastAsia="宋体" w:cs="Times New Roman"/>
                <w:b/>
                <w:bCs/>
                <w:color w:val="FFFFFF"/>
                <w:sz w:val="20"/>
                <w:szCs w:val="20"/>
              </w:rPr>
            </w:pPr>
            <w:r>
              <w:rPr>
                <w:rFonts w:eastAsia="宋体" w:cs="Times New Roman"/>
                <w:b/>
                <w:bCs/>
                <w:color w:val="FFFFFF"/>
                <w:kern w:val="0"/>
                <w:sz w:val="20"/>
                <w:szCs w:val="20"/>
              </w:rPr>
              <w:t>二级指标</w:t>
            </w:r>
          </w:p>
        </w:tc>
        <w:tc>
          <w:tcPr>
            <w:tcW w:w="1704" w:type="pct"/>
            <w:shd w:val="clear" w:color="auto" w:fill="00516B"/>
            <w:noWrap/>
            <w:vAlign w:val="center"/>
          </w:tcPr>
          <w:p w14:paraId="087A6B24">
            <w:pPr>
              <w:widowControl/>
              <w:spacing w:line="240" w:lineRule="auto"/>
              <w:ind w:firstLine="0" w:firstLineChars="0"/>
              <w:jc w:val="center"/>
              <w:textAlignment w:val="center"/>
              <w:rPr>
                <w:rFonts w:eastAsia="宋体" w:cs="Times New Roman"/>
                <w:b/>
                <w:bCs/>
                <w:color w:val="FFFFFF"/>
                <w:sz w:val="20"/>
                <w:szCs w:val="20"/>
              </w:rPr>
            </w:pPr>
            <w:r>
              <w:rPr>
                <w:rFonts w:eastAsia="宋体" w:cs="Times New Roman"/>
                <w:b/>
                <w:bCs/>
                <w:color w:val="FFFFFF"/>
                <w:kern w:val="0"/>
                <w:sz w:val="20"/>
                <w:szCs w:val="20"/>
              </w:rPr>
              <w:t>三级指标</w:t>
            </w:r>
          </w:p>
        </w:tc>
        <w:tc>
          <w:tcPr>
            <w:tcW w:w="414" w:type="pct"/>
            <w:shd w:val="clear" w:color="auto" w:fill="00516B"/>
            <w:vAlign w:val="center"/>
          </w:tcPr>
          <w:p w14:paraId="5B6D0617">
            <w:pPr>
              <w:widowControl/>
              <w:spacing w:line="240" w:lineRule="auto"/>
              <w:ind w:firstLine="0" w:firstLineChars="0"/>
              <w:jc w:val="center"/>
              <w:textAlignment w:val="center"/>
              <w:rPr>
                <w:rFonts w:eastAsia="宋体" w:cs="Times New Roman"/>
                <w:b/>
                <w:bCs/>
                <w:color w:val="FFFFFF"/>
                <w:sz w:val="20"/>
                <w:szCs w:val="20"/>
              </w:rPr>
            </w:pPr>
            <w:r>
              <w:rPr>
                <w:rFonts w:eastAsia="宋体" w:cs="Times New Roman"/>
                <w:b/>
                <w:bCs/>
                <w:color w:val="FFFFFF"/>
                <w:kern w:val="0"/>
                <w:sz w:val="20"/>
                <w:szCs w:val="20"/>
              </w:rPr>
              <w:t>分值</w:t>
            </w:r>
          </w:p>
        </w:tc>
        <w:tc>
          <w:tcPr>
            <w:tcW w:w="515" w:type="pct"/>
            <w:vMerge w:val="continue"/>
            <w:tcBorders>
              <w:bottom w:val="single" w:color="auto" w:sz="4" w:space="0"/>
            </w:tcBorders>
            <w:shd w:val="clear" w:color="auto" w:fill="00516B"/>
            <w:vAlign w:val="center"/>
          </w:tcPr>
          <w:p w14:paraId="008F7B2C">
            <w:pPr>
              <w:spacing w:line="240" w:lineRule="auto"/>
              <w:ind w:firstLine="0" w:firstLineChars="0"/>
              <w:jc w:val="center"/>
              <w:rPr>
                <w:rFonts w:eastAsia="宋体" w:cs="Times New Roman"/>
                <w:b/>
                <w:bCs/>
                <w:color w:val="FFFFFF"/>
                <w:sz w:val="20"/>
                <w:szCs w:val="20"/>
              </w:rPr>
            </w:pPr>
          </w:p>
        </w:tc>
        <w:tc>
          <w:tcPr>
            <w:tcW w:w="576" w:type="pct"/>
            <w:vMerge w:val="continue"/>
            <w:shd w:val="clear" w:color="auto" w:fill="00516B"/>
            <w:vAlign w:val="center"/>
          </w:tcPr>
          <w:p w14:paraId="1B750028">
            <w:pPr>
              <w:spacing w:line="240" w:lineRule="auto"/>
              <w:ind w:firstLine="0" w:firstLineChars="0"/>
              <w:jc w:val="center"/>
              <w:rPr>
                <w:rFonts w:eastAsia="宋体" w:cs="Times New Roman"/>
                <w:b/>
                <w:bCs/>
                <w:color w:val="FFFFFF"/>
                <w:sz w:val="20"/>
                <w:szCs w:val="20"/>
              </w:rPr>
            </w:pPr>
          </w:p>
        </w:tc>
      </w:tr>
      <w:tr w14:paraId="3814A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777" w:type="pct"/>
            <w:vMerge w:val="restart"/>
            <w:shd w:val="clear" w:color="auto" w:fill="auto"/>
            <w:vAlign w:val="center"/>
          </w:tcPr>
          <w:p w14:paraId="2A87CCB7">
            <w:pPr>
              <w:widowControl/>
              <w:spacing w:line="240" w:lineRule="auto"/>
              <w:ind w:firstLine="0" w:firstLineChars="0"/>
              <w:jc w:val="center"/>
              <w:textAlignment w:val="center"/>
              <w:rPr>
                <w:rFonts w:eastAsia="宋体" w:cs="Times New Roman"/>
                <w:b/>
                <w:bCs/>
                <w:color w:val="000000"/>
                <w:sz w:val="20"/>
                <w:szCs w:val="20"/>
              </w:rPr>
            </w:pPr>
            <w:r>
              <w:rPr>
                <w:rFonts w:eastAsia="宋体" w:cs="Times New Roman"/>
                <w:b/>
                <w:bCs/>
                <w:color w:val="000000"/>
                <w:kern w:val="0"/>
                <w:sz w:val="20"/>
                <w:szCs w:val="20"/>
              </w:rPr>
              <w:t>预算管理（10分）</w:t>
            </w:r>
          </w:p>
        </w:tc>
        <w:tc>
          <w:tcPr>
            <w:tcW w:w="1014" w:type="pct"/>
            <w:shd w:val="clear" w:color="auto" w:fill="auto"/>
            <w:noWrap/>
            <w:vAlign w:val="center"/>
          </w:tcPr>
          <w:p w14:paraId="36C55B94">
            <w:pPr>
              <w:widowControl/>
              <w:spacing w:line="240" w:lineRule="auto"/>
              <w:ind w:firstLine="0" w:firstLineChars="0"/>
              <w:jc w:val="center"/>
              <w:textAlignment w:val="center"/>
              <w:rPr>
                <w:rFonts w:eastAsia="宋体" w:cs="Times New Roman"/>
                <w:color w:val="000000"/>
                <w:sz w:val="20"/>
                <w:szCs w:val="20"/>
              </w:rPr>
            </w:pPr>
            <w:r>
              <w:rPr>
                <w:rFonts w:eastAsia="宋体" w:cs="Times New Roman"/>
                <w:color w:val="000000"/>
                <w:kern w:val="0"/>
                <w:sz w:val="20"/>
                <w:szCs w:val="20"/>
              </w:rPr>
              <w:t>预算编制</w:t>
            </w:r>
          </w:p>
        </w:tc>
        <w:tc>
          <w:tcPr>
            <w:tcW w:w="1704" w:type="pct"/>
            <w:shd w:val="clear" w:color="auto" w:fill="auto"/>
            <w:vAlign w:val="center"/>
          </w:tcPr>
          <w:p w14:paraId="4C57011A">
            <w:pPr>
              <w:widowControl/>
              <w:spacing w:line="240" w:lineRule="auto"/>
              <w:ind w:firstLine="0" w:firstLineChars="0"/>
              <w:jc w:val="center"/>
              <w:textAlignment w:val="center"/>
              <w:rPr>
                <w:rFonts w:eastAsia="宋体" w:cs="Times New Roman"/>
                <w:color w:val="000000"/>
                <w:sz w:val="20"/>
                <w:szCs w:val="20"/>
              </w:rPr>
            </w:pPr>
            <w:r>
              <w:rPr>
                <w:rFonts w:eastAsia="宋体" w:cs="Times New Roman"/>
                <w:color w:val="000000"/>
                <w:kern w:val="0"/>
                <w:sz w:val="20"/>
                <w:szCs w:val="20"/>
              </w:rPr>
              <w:t>预算安排准确性</w:t>
            </w:r>
          </w:p>
        </w:tc>
        <w:tc>
          <w:tcPr>
            <w:tcW w:w="414" w:type="pct"/>
            <w:shd w:val="clear" w:color="auto" w:fill="auto"/>
            <w:vAlign w:val="center"/>
          </w:tcPr>
          <w:p w14:paraId="40D20F19">
            <w:pPr>
              <w:widowControl/>
              <w:spacing w:line="240" w:lineRule="auto"/>
              <w:ind w:firstLine="0" w:firstLineChars="0"/>
              <w:jc w:val="center"/>
              <w:textAlignment w:val="center"/>
              <w:rPr>
                <w:rFonts w:eastAsia="宋体" w:cs="Times New Roman"/>
                <w:color w:val="000000"/>
                <w:sz w:val="20"/>
                <w:szCs w:val="20"/>
              </w:rPr>
            </w:pPr>
            <w:r>
              <w:rPr>
                <w:rFonts w:eastAsia="等线" w:cs="Times New Roman"/>
                <w:color w:val="000000"/>
                <w:sz w:val="20"/>
                <w:szCs w:val="20"/>
              </w:rPr>
              <w:t>5.00</w:t>
            </w:r>
          </w:p>
        </w:tc>
        <w:tc>
          <w:tcPr>
            <w:tcW w:w="515" w:type="pct"/>
            <w:tcBorders>
              <w:top w:val="single" w:color="auto" w:sz="4" w:space="0"/>
              <w:left w:val="nil"/>
              <w:bottom w:val="single" w:color="auto" w:sz="4" w:space="0"/>
              <w:right w:val="single" w:color="auto" w:sz="4" w:space="0"/>
            </w:tcBorders>
            <w:shd w:val="clear" w:color="auto" w:fill="auto"/>
            <w:noWrap/>
            <w:vAlign w:val="center"/>
          </w:tcPr>
          <w:p w14:paraId="559A04F4">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4.95</w:t>
            </w:r>
          </w:p>
        </w:tc>
        <w:tc>
          <w:tcPr>
            <w:tcW w:w="576" w:type="pct"/>
            <w:shd w:val="clear" w:color="auto" w:fill="auto"/>
            <w:noWrap/>
            <w:vAlign w:val="center"/>
          </w:tcPr>
          <w:p w14:paraId="10BCDA70">
            <w:pPr>
              <w:widowControl/>
              <w:spacing w:line="240" w:lineRule="auto"/>
              <w:ind w:firstLine="0" w:firstLineChars="0"/>
              <w:jc w:val="center"/>
              <w:textAlignment w:val="center"/>
              <w:rPr>
                <w:rFonts w:eastAsia="宋体" w:cs="Times New Roman"/>
                <w:color w:val="000000"/>
                <w:sz w:val="20"/>
                <w:szCs w:val="20"/>
              </w:rPr>
            </w:pPr>
            <w:r>
              <w:rPr>
                <w:rFonts w:eastAsia="等线" w:cs="Times New Roman"/>
                <w:color w:val="000000"/>
                <w:sz w:val="20"/>
                <w:szCs w:val="20"/>
              </w:rPr>
              <w:t>98.94</w:t>
            </w:r>
            <w:r>
              <w:rPr>
                <w:rFonts w:hint="eastAsia" w:eastAsia="等线" w:cs="Times New Roman"/>
                <w:color w:val="000000"/>
                <w:sz w:val="20"/>
                <w:szCs w:val="20"/>
              </w:rPr>
              <w:t>%</w:t>
            </w:r>
          </w:p>
        </w:tc>
      </w:tr>
      <w:tr w14:paraId="6AB4F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777" w:type="pct"/>
            <w:vMerge w:val="continue"/>
            <w:shd w:val="clear" w:color="auto" w:fill="auto"/>
            <w:vAlign w:val="center"/>
          </w:tcPr>
          <w:p w14:paraId="0C4AB45B">
            <w:pPr>
              <w:spacing w:line="240" w:lineRule="auto"/>
              <w:ind w:firstLine="0" w:firstLineChars="0"/>
              <w:jc w:val="center"/>
              <w:rPr>
                <w:rFonts w:eastAsia="宋体" w:cs="Times New Roman"/>
                <w:b/>
                <w:bCs/>
                <w:color w:val="000000"/>
                <w:sz w:val="20"/>
                <w:szCs w:val="20"/>
              </w:rPr>
            </w:pPr>
          </w:p>
        </w:tc>
        <w:tc>
          <w:tcPr>
            <w:tcW w:w="1014" w:type="pct"/>
            <w:shd w:val="clear" w:color="auto" w:fill="auto"/>
            <w:noWrap/>
            <w:vAlign w:val="center"/>
          </w:tcPr>
          <w:p w14:paraId="28F5C10E">
            <w:pPr>
              <w:widowControl/>
              <w:spacing w:line="240" w:lineRule="auto"/>
              <w:ind w:firstLine="0" w:firstLineChars="0"/>
              <w:jc w:val="center"/>
              <w:textAlignment w:val="center"/>
              <w:rPr>
                <w:rFonts w:eastAsia="宋体" w:cs="Times New Roman"/>
                <w:color w:val="000000"/>
                <w:sz w:val="20"/>
                <w:szCs w:val="20"/>
              </w:rPr>
            </w:pPr>
            <w:r>
              <w:rPr>
                <w:rFonts w:eastAsia="宋体" w:cs="Times New Roman"/>
                <w:color w:val="000000"/>
                <w:kern w:val="0"/>
                <w:sz w:val="20"/>
                <w:szCs w:val="20"/>
              </w:rPr>
              <w:t>执行进度</w:t>
            </w:r>
          </w:p>
        </w:tc>
        <w:tc>
          <w:tcPr>
            <w:tcW w:w="1704" w:type="pct"/>
            <w:shd w:val="clear" w:color="auto" w:fill="auto"/>
            <w:vAlign w:val="center"/>
          </w:tcPr>
          <w:p w14:paraId="76FC0030">
            <w:pPr>
              <w:widowControl/>
              <w:spacing w:line="240" w:lineRule="auto"/>
              <w:ind w:firstLine="0" w:firstLineChars="0"/>
              <w:jc w:val="center"/>
              <w:textAlignment w:val="center"/>
              <w:rPr>
                <w:rFonts w:eastAsia="宋体" w:cs="Times New Roman"/>
                <w:color w:val="000000"/>
                <w:sz w:val="20"/>
                <w:szCs w:val="20"/>
              </w:rPr>
            </w:pPr>
            <w:r>
              <w:rPr>
                <w:rFonts w:eastAsia="宋体" w:cs="Times New Roman"/>
                <w:color w:val="000000"/>
                <w:kern w:val="0"/>
                <w:sz w:val="20"/>
                <w:szCs w:val="20"/>
              </w:rPr>
              <w:t>部门总体执行进度</w:t>
            </w:r>
          </w:p>
        </w:tc>
        <w:tc>
          <w:tcPr>
            <w:tcW w:w="414" w:type="pct"/>
            <w:shd w:val="clear" w:color="auto" w:fill="auto"/>
            <w:vAlign w:val="center"/>
          </w:tcPr>
          <w:p w14:paraId="3CA023EE">
            <w:pPr>
              <w:widowControl/>
              <w:spacing w:line="240" w:lineRule="auto"/>
              <w:ind w:firstLine="0" w:firstLineChars="0"/>
              <w:jc w:val="center"/>
              <w:textAlignment w:val="center"/>
              <w:rPr>
                <w:rFonts w:eastAsia="宋体" w:cs="Times New Roman"/>
                <w:color w:val="000000"/>
                <w:sz w:val="20"/>
                <w:szCs w:val="20"/>
              </w:rPr>
            </w:pPr>
            <w:r>
              <w:rPr>
                <w:rFonts w:eastAsia="等线" w:cs="Times New Roman"/>
                <w:color w:val="000000"/>
                <w:sz w:val="20"/>
                <w:szCs w:val="20"/>
              </w:rPr>
              <w:t>5.00</w:t>
            </w:r>
          </w:p>
        </w:tc>
        <w:tc>
          <w:tcPr>
            <w:tcW w:w="515" w:type="pct"/>
            <w:tcBorders>
              <w:top w:val="single" w:color="auto" w:sz="4" w:space="0"/>
              <w:left w:val="nil"/>
              <w:bottom w:val="single" w:color="auto" w:sz="4" w:space="0"/>
              <w:right w:val="single" w:color="auto" w:sz="4" w:space="0"/>
            </w:tcBorders>
            <w:shd w:val="clear" w:color="auto" w:fill="auto"/>
            <w:noWrap/>
            <w:vAlign w:val="center"/>
          </w:tcPr>
          <w:p w14:paraId="668F29EA">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5.00</w:t>
            </w:r>
          </w:p>
        </w:tc>
        <w:tc>
          <w:tcPr>
            <w:tcW w:w="576" w:type="pct"/>
            <w:shd w:val="clear" w:color="auto" w:fill="auto"/>
            <w:noWrap/>
            <w:vAlign w:val="center"/>
          </w:tcPr>
          <w:p w14:paraId="1D47E8A7">
            <w:pPr>
              <w:widowControl/>
              <w:spacing w:line="240" w:lineRule="auto"/>
              <w:ind w:firstLine="0" w:firstLineChars="0"/>
              <w:jc w:val="center"/>
              <w:textAlignment w:val="center"/>
              <w:rPr>
                <w:rFonts w:eastAsia="宋体" w:cs="Times New Roman"/>
                <w:color w:val="000000"/>
                <w:sz w:val="20"/>
                <w:szCs w:val="20"/>
              </w:rPr>
            </w:pPr>
            <w:r>
              <w:rPr>
                <w:rFonts w:hint="eastAsia" w:eastAsia="宋体" w:cs="Times New Roman"/>
                <w:color w:val="000000"/>
                <w:sz w:val="20"/>
                <w:szCs w:val="20"/>
              </w:rPr>
              <w:t>1</w:t>
            </w:r>
            <w:r>
              <w:rPr>
                <w:rFonts w:eastAsia="宋体" w:cs="Times New Roman"/>
                <w:color w:val="000000"/>
                <w:sz w:val="20"/>
                <w:szCs w:val="20"/>
              </w:rPr>
              <w:t>00.00</w:t>
            </w:r>
            <w:r>
              <w:rPr>
                <w:rFonts w:hint="eastAsia" w:eastAsia="宋体" w:cs="Times New Roman"/>
                <w:color w:val="000000"/>
                <w:sz w:val="20"/>
                <w:szCs w:val="20"/>
              </w:rPr>
              <w:t>%</w:t>
            </w:r>
          </w:p>
        </w:tc>
      </w:tr>
      <w:tr w14:paraId="7921B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777" w:type="pct"/>
            <w:vMerge w:val="restart"/>
            <w:shd w:val="clear" w:color="auto" w:fill="auto"/>
            <w:vAlign w:val="center"/>
          </w:tcPr>
          <w:p w14:paraId="3C9BDD10">
            <w:pPr>
              <w:widowControl/>
              <w:spacing w:line="240" w:lineRule="auto"/>
              <w:ind w:firstLine="0" w:firstLineChars="0"/>
              <w:jc w:val="center"/>
              <w:textAlignment w:val="center"/>
              <w:rPr>
                <w:rFonts w:eastAsia="宋体" w:cs="Times New Roman"/>
                <w:b/>
                <w:bCs/>
                <w:color w:val="000000"/>
                <w:sz w:val="20"/>
                <w:szCs w:val="20"/>
              </w:rPr>
            </w:pPr>
            <w:r>
              <w:rPr>
                <w:rFonts w:eastAsia="宋体" w:cs="Times New Roman"/>
                <w:b/>
                <w:bCs/>
                <w:color w:val="000000"/>
                <w:kern w:val="0"/>
                <w:sz w:val="20"/>
                <w:szCs w:val="20"/>
              </w:rPr>
              <w:t>目标管理（10分）</w:t>
            </w:r>
          </w:p>
        </w:tc>
        <w:tc>
          <w:tcPr>
            <w:tcW w:w="1014" w:type="pct"/>
            <w:vMerge w:val="restart"/>
            <w:shd w:val="clear" w:color="auto" w:fill="auto"/>
            <w:noWrap/>
            <w:vAlign w:val="center"/>
          </w:tcPr>
          <w:p w14:paraId="427C85F4">
            <w:pPr>
              <w:widowControl/>
              <w:spacing w:line="240" w:lineRule="auto"/>
              <w:ind w:firstLine="0" w:firstLineChars="0"/>
              <w:jc w:val="center"/>
              <w:textAlignment w:val="center"/>
              <w:rPr>
                <w:rFonts w:eastAsia="宋体" w:cs="Times New Roman"/>
                <w:color w:val="000000"/>
                <w:sz w:val="20"/>
                <w:szCs w:val="20"/>
              </w:rPr>
            </w:pPr>
            <w:r>
              <w:rPr>
                <w:rFonts w:eastAsia="宋体" w:cs="Times New Roman"/>
                <w:color w:val="000000"/>
                <w:kern w:val="0"/>
                <w:sz w:val="20"/>
                <w:szCs w:val="20"/>
              </w:rPr>
              <w:t>绩效目标</w:t>
            </w:r>
          </w:p>
        </w:tc>
        <w:tc>
          <w:tcPr>
            <w:tcW w:w="1704" w:type="pct"/>
            <w:shd w:val="clear" w:color="auto" w:fill="auto"/>
            <w:noWrap/>
            <w:vAlign w:val="center"/>
          </w:tcPr>
          <w:p w14:paraId="3E2BC4FF">
            <w:pPr>
              <w:widowControl/>
              <w:spacing w:line="240" w:lineRule="auto"/>
              <w:ind w:firstLine="0" w:firstLineChars="0"/>
              <w:jc w:val="center"/>
              <w:textAlignment w:val="center"/>
              <w:rPr>
                <w:rFonts w:eastAsia="宋体" w:cs="Times New Roman"/>
                <w:color w:val="000000"/>
                <w:sz w:val="20"/>
                <w:szCs w:val="20"/>
              </w:rPr>
            </w:pPr>
            <w:r>
              <w:rPr>
                <w:rFonts w:eastAsia="宋体" w:cs="Times New Roman"/>
                <w:color w:val="000000"/>
                <w:kern w:val="0"/>
                <w:sz w:val="20"/>
                <w:szCs w:val="20"/>
              </w:rPr>
              <w:t>目标填报</w:t>
            </w:r>
          </w:p>
        </w:tc>
        <w:tc>
          <w:tcPr>
            <w:tcW w:w="414" w:type="pct"/>
            <w:shd w:val="clear" w:color="auto" w:fill="auto"/>
            <w:vAlign w:val="center"/>
          </w:tcPr>
          <w:p w14:paraId="30313EEF">
            <w:pPr>
              <w:widowControl/>
              <w:spacing w:line="240" w:lineRule="auto"/>
              <w:ind w:firstLine="0" w:firstLineChars="0"/>
              <w:jc w:val="center"/>
              <w:textAlignment w:val="center"/>
              <w:rPr>
                <w:rFonts w:eastAsia="宋体" w:cs="Times New Roman"/>
                <w:color w:val="000000"/>
                <w:sz w:val="20"/>
                <w:szCs w:val="20"/>
              </w:rPr>
            </w:pPr>
            <w:r>
              <w:rPr>
                <w:rFonts w:eastAsia="等线" w:cs="Times New Roman"/>
                <w:color w:val="000000"/>
                <w:sz w:val="20"/>
                <w:szCs w:val="20"/>
              </w:rPr>
              <w:t>2.00</w:t>
            </w:r>
          </w:p>
        </w:tc>
        <w:tc>
          <w:tcPr>
            <w:tcW w:w="515" w:type="pct"/>
            <w:tcBorders>
              <w:top w:val="single" w:color="auto" w:sz="4" w:space="0"/>
              <w:left w:val="nil"/>
              <w:bottom w:val="single" w:color="auto" w:sz="4" w:space="0"/>
              <w:right w:val="single" w:color="auto" w:sz="4" w:space="0"/>
            </w:tcBorders>
            <w:shd w:val="clear" w:color="auto" w:fill="auto"/>
            <w:noWrap/>
            <w:vAlign w:val="center"/>
          </w:tcPr>
          <w:p w14:paraId="6C48178F">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1.00</w:t>
            </w:r>
          </w:p>
        </w:tc>
        <w:tc>
          <w:tcPr>
            <w:tcW w:w="576" w:type="pct"/>
            <w:shd w:val="clear" w:color="auto" w:fill="auto"/>
            <w:noWrap/>
            <w:vAlign w:val="center"/>
          </w:tcPr>
          <w:p w14:paraId="24BCC6C1">
            <w:pPr>
              <w:widowControl/>
              <w:spacing w:line="240" w:lineRule="auto"/>
              <w:ind w:firstLine="0" w:firstLineChars="0"/>
              <w:jc w:val="center"/>
              <w:textAlignment w:val="center"/>
              <w:rPr>
                <w:rFonts w:eastAsia="宋体" w:cs="Times New Roman"/>
                <w:color w:val="000000"/>
                <w:sz w:val="20"/>
                <w:szCs w:val="20"/>
              </w:rPr>
            </w:pPr>
            <w:r>
              <w:rPr>
                <w:rFonts w:eastAsia="等线" w:cs="Times New Roman"/>
                <w:color w:val="000000"/>
                <w:sz w:val="20"/>
                <w:szCs w:val="20"/>
              </w:rPr>
              <w:t>50.00</w:t>
            </w:r>
            <w:r>
              <w:rPr>
                <w:rFonts w:hint="eastAsia" w:eastAsia="等线" w:cs="Times New Roman"/>
                <w:color w:val="000000"/>
                <w:sz w:val="20"/>
                <w:szCs w:val="20"/>
              </w:rPr>
              <w:t>%</w:t>
            </w:r>
          </w:p>
        </w:tc>
      </w:tr>
      <w:tr w14:paraId="4A4CA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77" w:type="pct"/>
            <w:vMerge w:val="continue"/>
            <w:shd w:val="clear" w:color="auto" w:fill="auto"/>
            <w:vAlign w:val="center"/>
          </w:tcPr>
          <w:p w14:paraId="1CDEEADE">
            <w:pPr>
              <w:spacing w:line="240" w:lineRule="auto"/>
              <w:ind w:firstLine="0" w:firstLineChars="0"/>
              <w:jc w:val="center"/>
              <w:rPr>
                <w:rFonts w:eastAsia="宋体" w:cs="Times New Roman"/>
                <w:b/>
                <w:bCs/>
                <w:color w:val="000000"/>
                <w:sz w:val="20"/>
                <w:szCs w:val="20"/>
              </w:rPr>
            </w:pPr>
          </w:p>
        </w:tc>
        <w:tc>
          <w:tcPr>
            <w:tcW w:w="1014" w:type="pct"/>
            <w:vMerge w:val="continue"/>
            <w:shd w:val="clear" w:color="auto" w:fill="auto"/>
            <w:noWrap/>
            <w:vAlign w:val="center"/>
          </w:tcPr>
          <w:p w14:paraId="2EE504EA">
            <w:pPr>
              <w:spacing w:line="240" w:lineRule="auto"/>
              <w:ind w:firstLine="0" w:firstLineChars="0"/>
              <w:jc w:val="center"/>
              <w:rPr>
                <w:rFonts w:eastAsia="宋体" w:cs="Times New Roman"/>
                <w:color w:val="000000"/>
                <w:sz w:val="20"/>
                <w:szCs w:val="20"/>
              </w:rPr>
            </w:pPr>
          </w:p>
        </w:tc>
        <w:tc>
          <w:tcPr>
            <w:tcW w:w="1704" w:type="pct"/>
            <w:shd w:val="clear" w:color="auto" w:fill="auto"/>
            <w:noWrap/>
            <w:vAlign w:val="center"/>
          </w:tcPr>
          <w:p w14:paraId="22FA5CAD">
            <w:pPr>
              <w:widowControl/>
              <w:spacing w:line="240" w:lineRule="auto"/>
              <w:ind w:firstLine="0" w:firstLineChars="0"/>
              <w:jc w:val="center"/>
              <w:textAlignment w:val="center"/>
              <w:rPr>
                <w:rFonts w:eastAsia="宋体" w:cs="Times New Roman"/>
                <w:color w:val="000000"/>
                <w:sz w:val="20"/>
                <w:szCs w:val="20"/>
              </w:rPr>
            </w:pPr>
            <w:r>
              <w:rPr>
                <w:rFonts w:eastAsia="宋体" w:cs="Times New Roman"/>
                <w:color w:val="000000"/>
                <w:kern w:val="0"/>
                <w:sz w:val="20"/>
                <w:szCs w:val="20"/>
              </w:rPr>
              <w:t>目标量化</w:t>
            </w:r>
          </w:p>
        </w:tc>
        <w:tc>
          <w:tcPr>
            <w:tcW w:w="414" w:type="pct"/>
            <w:shd w:val="clear" w:color="auto" w:fill="auto"/>
            <w:vAlign w:val="center"/>
          </w:tcPr>
          <w:p w14:paraId="79C22040">
            <w:pPr>
              <w:widowControl/>
              <w:spacing w:line="240" w:lineRule="auto"/>
              <w:ind w:firstLine="0" w:firstLineChars="0"/>
              <w:jc w:val="center"/>
              <w:textAlignment w:val="center"/>
              <w:rPr>
                <w:rFonts w:eastAsia="宋体" w:cs="Times New Roman"/>
                <w:color w:val="000000"/>
                <w:sz w:val="20"/>
                <w:szCs w:val="20"/>
              </w:rPr>
            </w:pPr>
            <w:r>
              <w:rPr>
                <w:rFonts w:eastAsia="等线" w:cs="Times New Roman"/>
                <w:color w:val="000000"/>
                <w:sz w:val="20"/>
                <w:szCs w:val="20"/>
              </w:rPr>
              <w:t>3.00</w:t>
            </w:r>
          </w:p>
        </w:tc>
        <w:tc>
          <w:tcPr>
            <w:tcW w:w="515" w:type="pct"/>
            <w:tcBorders>
              <w:top w:val="single" w:color="auto" w:sz="4" w:space="0"/>
              <w:left w:val="nil"/>
              <w:bottom w:val="single" w:color="auto" w:sz="4" w:space="0"/>
              <w:right w:val="single" w:color="auto" w:sz="4" w:space="0"/>
            </w:tcBorders>
            <w:shd w:val="clear" w:color="auto" w:fill="auto"/>
            <w:noWrap/>
            <w:vAlign w:val="center"/>
          </w:tcPr>
          <w:p w14:paraId="275C3B6D">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0.00</w:t>
            </w:r>
          </w:p>
        </w:tc>
        <w:tc>
          <w:tcPr>
            <w:tcW w:w="576" w:type="pct"/>
            <w:shd w:val="clear" w:color="auto" w:fill="auto"/>
            <w:noWrap/>
            <w:vAlign w:val="center"/>
          </w:tcPr>
          <w:p w14:paraId="186087F6">
            <w:pPr>
              <w:widowControl/>
              <w:spacing w:line="240" w:lineRule="auto"/>
              <w:ind w:firstLine="0" w:firstLineChars="0"/>
              <w:jc w:val="center"/>
              <w:textAlignment w:val="center"/>
              <w:rPr>
                <w:rFonts w:eastAsia="宋体" w:cs="Times New Roman"/>
                <w:color w:val="000000"/>
                <w:sz w:val="20"/>
                <w:szCs w:val="20"/>
              </w:rPr>
            </w:pPr>
            <w:r>
              <w:rPr>
                <w:rFonts w:eastAsia="等线" w:cs="Times New Roman"/>
                <w:color w:val="000000"/>
                <w:sz w:val="20"/>
                <w:szCs w:val="20"/>
              </w:rPr>
              <w:t>0.00</w:t>
            </w:r>
            <w:r>
              <w:rPr>
                <w:rFonts w:hint="eastAsia" w:eastAsia="等线" w:cs="Times New Roman"/>
                <w:color w:val="000000"/>
                <w:sz w:val="20"/>
                <w:szCs w:val="20"/>
              </w:rPr>
              <w:t>%</w:t>
            </w:r>
          </w:p>
        </w:tc>
      </w:tr>
      <w:tr w14:paraId="608F9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777" w:type="pct"/>
            <w:vMerge w:val="continue"/>
            <w:shd w:val="clear" w:color="auto" w:fill="auto"/>
            <w:vAlign w:val="center"/>
          </w:tcPr>
          <w:p w14:paraId="79B58B9C">
            <w:pPr>
              <w:spacing w:line="240" w:lineRule="auto"/>
              <w:ind w:firstLine="0" w:firstLineChars="0"/>
              <w:jc w:val="center"/>
              <w:rPr>
                <w:rFonts w:eastAsia="宋体" w:cs="Times New Roman"/>
                <w:b/>
                <w:bCs/>
                <w:color w:val="000000"/>
                <w:sz w:val="20"/>
                <w:szCs w:val="20"/>
              </w:rPr>
            </w:pPr>
          </w:p>
        </w:tc>
        <w:tc>
          <w:tcPr>
            <w:tcW w:w="1014" w:type="pct"/>
            <w:vMerge w:val="continue"/>
            <w:shd w:val="clear" w:color="auto" w:fill="auto"/>
            <w:noWrap/>
            <w:vAlign w:val="center"/>
          </w:tcPr>
          <w:p w14:paraId="44B9D6F5">
            <w:pPr>
              <w:spacing w:line="240" w:lineRule="auto"/>
              <w:ind w:firstLine="0" w:firstLineChars="0"/>
              <w:jc w:val="center"/>
              <w:rPr>
                <w:rFonts w:eastAsia="宋体" w:cs="Times New Roman"/>
                <w:color w:val="000000"/>
                <w:sz w:val="20"/>
                <w:szCs w:val="20"/>
              </w:rPr>
            </w:pPr>
          </w:p>
        </w:tc>
        <w:tc>
          <w:tcPr>
            <w:tcW w:w="1704" w:type="pct"/>
            <w:shd w:val="clear" w:color="auto" w:fill="auto"/>
            <w:noWrap/>
            <w:vAlign w:val="center"/>
          </w:tcPr>
          <w:p w14:paraId="28785570">
            <w:pPr>
              <w:widowControl/>
              <w:spacing w:line="240" w:lineRule="auto"/>
              <w:ind w:firstLine="0" w:firstLineChars="0"/>
              <w:jc w:val="center"/>
              <w:textAlignment w:val="center"/>
              <w:rPr>
                <w:rFonts w:eastAsia="宋体" w:cs="Times New Roman"/>
                <w:color w:val="000000"/>
                <w:sz w:val="20"/>
                <w:szCs w:val="20"/>
              </w:rPr>
            </w:pPr>
            <w:r>
              <w:rPr>
                <w:rFonts w:eastAsia="宋体" w:cs="Times New Roman"/>
                <w:color w:val="000000"/>
                <w:kern w:val="0"/>
                <w:sz w:val="20"/>
                <w:szCs w:val="20"/>
              </w:rPr>
              <w:t>目标匹配</w:t>
            </w:r>
          </w:p>
        </w:tc>
        <w:tc>
          <w:tcPr>
            <w:tcW w:w="414" w:type="pct"/>
            <w:shd w:val="clear" w:color="auto" w:fill="auto"/>
            <w:vAlign w:val="center"/>
          </w:tcPr>
          <w:p w14:paraId="2B727AC3">
            <w:pPr>
              <w:widowControl/>
              <w:spacing w:line="240" w:lineRule="auto"/>
              <w:ind w:firstLine="0" w:firstLineChars="0"/>
              <w:jc w:val="center"/>
              <w:textAlignment w:val="center"/>
              <w:rPr>
                <w:rFonts w:eastAsia="宋体" w:cs="Times New Roman"/>
                <w:color w:val="000000"/>
                <w:sz w:val="20"/>
                <w:szCs w:val="20"/>
              </w:rPr>
            </w:pPr>
            <w:r>
              <w:rPr>
                <w:rFonts w:eastAsia="等线" w:cs="Times New Roman"/>
                <w:color w:val="000000"/>
                <w:sz w:val="20"/>
                <w:szCs w:val="20"/>
              </w:rPr>
              <w:t>5.00</w:t>
            </w:r>
          </w:p>
        </w:tc>
        <w:tc>
          <w:tcPr>
            <w:tcW w:w="515" w:type="pct"/>
            <w:tcBorders>
              <w:top w:val="single" w:color="auto" w:sz="4" w:space="0"/>
              <w:left w:val="nil"/>
              <w:bottom w:val="single" w:color="auto" w:sz="4" w:space="0"/>
              <w:right w:val="single" w:color="auto" w:sz="4" w:space="0"/>
            </w:tcBorders>
            <w:shd w:val="clear" w:color="auto" w:fill="auto"/>
            <w:noWrap/>
            <w:vAlign w:val="center"/>
          </w:tcPr>
          <w:p w14:paraId="61DC52D8">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5.00</w:t>
            </w:r>
          </w:p>
        </w:tc>
        <w:tc>
          <w:tcPr>
            <w:tcW w:w="576" w:type="pct"/>
            <w:shd w:val="clear" w:color="auto" w:fill="auto"/>
            <w:noWrap/>
            <w:vAlign w:val="center"/>
          </w:tcPr>
          <w:p w14:paraId="5C6317A9">
            <w:pPr>
              <w:widowControl/>
              <w:spacing w:line="240" w:lineRule="auto"/>
              <w:ind w:firstLine="0" w:firstLineChars="0"/>
              <w:jc w:val="center"/>
              <w:textAlignment w:val="center"/>
              <w:rPr>
                <w:rFonts w:eastAsia="宋体" w:cs="Times New Roman"/>
                <w:color w:val="000000"/>
                <w:sz w:val="20"/>
                <w:szCs w:val="20"/>
              </w:rPr>
            </w:pPr>
            <w:r>
              <w:rPr>
                <w:rFonts w:eastAsia="等线" w:cs="Times New Roman"/>
                <w:color w:val="000000"/>
                <w:sz w:val="20"/>
                <w:szCs w:val="20"/>
              </w:rPr>
              <w:t>100.00</w:t>
            </w:r>
            <w:r>
              <w:rPr>
                <w:rFonts w:hint="eastAsia" w:eastAsia="等线" w:cs="Times New Roman"/>
                <w:color w:val="000000"/>
                <w:sz w:val="20"/>
                <w:szCs w:val="20"/>
              </w:rPr>
              <w:t>%</w:t>
            </w:r>
          </w:p>
        </w:tc>
      </w:tr>
      <w:tr w14:paraId="08C0A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777" w:type="pct"/>
            <w:vMerge w:val="restart"/>
            <w:shd w:val="clear" w:color="auto" w:fill="auto"/>
            <w:vAlign w:val="center"/>
          </w:tcPr>
          <w:p w14:paraId="009A92BF">
            <w:pPr>
              <w:widowControl/>
              <w:spacing w:line="240" w:lineRule="auto"/>
              <w:ind w:firstLine="0" w:firstLineChars="0"/>
              <w:jc w:val="center"/>
              <w:textAlignment w:val="center"/>
              <w:rPr>
                <w:rFonts w:eastAsia="宋体" w:cs="Times New Roman"/>
                <w:b/>
                <w:bCs/>
                <w:color w:val="000000"/>
                <w:sz w:val="20"/>
                <w:szCs w:val="20"/>
              </w:rPr>
            </w:pPr>
            <w:r>
              <w:rPr>
                <w:rFonts w:eastAsia="宋体" w:cs="Times New Roman"/>
                <w:b/>
                <w:bCs/>
                <w:color w:val="000000"/>
                <w:kern w:val="0"/>
                <w:sz w:val="20"/>
                <w:szCs w:val="20"/>
              </w:rPr>
              <w:t>部门管理（10分）</w:t>
            </w:r>
          </w:p>
        </w:tc>
        <w:tc>
          <w:tcPr>
            <w:tcW w:w="1014" w:type="pct"/>
            <w:vMerge w:val="restart"/>
            <w:shd w:val="clear" w:color="auto" w:fill="auto"/>
            <w:noWrap/>
            <w:vAlign w:val="center"/>
          </w:tcPr>
          <w:p w14:paraId="44FC48EE">
            <w:pPr>
              <w:widowControl/>
              <w:spacing w:line="240" w:lineRule="auto"/>
              <w:ind w:firstLine="0" w:firstLineChars="0"/>
              <w:jc w:val="center"/>
              <w:textAlignment w:val="center"/>
              <w:rPr>
                <w:rFonts w:eastAsia="宋体" w:cs="Times New Roman"/>
                <w:color w:val="000000"/>
                <w:sz w:val="20"/>
                <w:szCs w:val="20"/>
              </w:rPr>
            </w:pPr>
            <w:r>
              <w:rPr>
                <w:rFonts w:eastAsia="宋体" w:cs="Times New Roman"/>
                <w:color w:val="000000"/>
                <w:kern w:val="0"/>
                <w:sz w:val="20"/>
                <w:szCs w:val="20"/>
              </w:rPr>
              <w:t>基础管理</w:t>
            </w:r>
          </w:p>
        </w:tc>
        <w:tc>
          <w:tcPr>
            <w:tcW w:w="1704" w:type="pct"/>
            <w:shd w:val="clear" w:color="auto" w:fill="auto"/>
            <w:vAlign w:val="center"/>
          </w:tcPr>
          <w:p w14:paraId="1D86BE5C">
            <w:pPr>
              <w:widowControl/>
              <w:spacing w:line="240" w:lineRule="auto"/>
              <w:ind w:firstLine="0" w:firstLineChars="0"/>
              <w:jc w:val="center"/>
              <w:textAlignment w:val="center"/>
              <w:rPr>
                <w:rFonts w:eastAsia="宋体" w:cs="Times New Roman"/>
                <w:color w:val="000000"/>
                <w:sz w:val="20"/>
                <w:szCs w:val="20"/>
              </w:rPr>
            </w:pPr>
            <w:r>
              <w:rPr>
                <w:rFonts w:eastAsia="宋体" w:cs="Times New Roman"/>
                <w:color w:val="000000"/>
                <w:kern w:val="0"/>
                <w:sz w:val="20"/>
                <w:szCs w:val="20"/>
              </w:rPr>
              <w:t>管理制度健全性</w:t>
            </w:r>
          </w:p>
        </w:tc>
        <w:tc>
          <w:tcPr>
            <w:tcW w:w="414" w:type="pct"/>
            <w:shd w:val="clear" w:color="auto" w:fill="auto"/>
            <w:vAlign w:val="center"/>
          </w:tcPr>
          <w:p w14:paraId="5541A3F1">
            <w:pPr>
              <w:widowControl/>
              <w:spacing w:line="240" w:lineRule="auto"/>
              <w:ind w:firstLine="0" w:firstLineChars="0"/>
              <w:jc w:val="center"/>
              <w:textAlignment w:val="center"/>
              <w:rPr>
                <w:rFonts w:eastAsia="宋体" w:cs="Times New Roman"/>
                <w:color w:val="000000"/>
                <w:sz w:val="20"/>
                <w:szCs w:val="20"/>
              </w:rPr>
            </w:pPr>
            <w:r>
              <w:rPr>
                <w:rFonts w:eastAsia="等线" w:cs="Times New Roman"/>
                <w:color w:val="000000"/>
                <w:sz w:val="20"/>
                <w:szCs w:val="20"/>
              </w:rPr>
              <w:t>1.00</w:t>
            </w:r>
          </w:p>
        </w:tc>
        <w:tc>
          <w:tcPr>
            <w:tcW w:w="515" w:type="pct"/>
            <w:tcBorders>
              <w:top w:val="single" w:color="auto" w:sz="4" w:space="0"/>
              <w:left w:val="nil"/>
              <w:bottom w:val="single" w:color="auto" w:sz="4" w:space="0"/>
              <w:right w:val="single" w:color="auto" w:sz="4" w:space="0"/>
            </w:tcBorders>
            <w:shd w:val="clear" w:color="auto" w:fill="auto"/>
            <w:noWrap/>
            <w:vAlign w:val="center"/>
          </w:tcPr>
          <w:p w14:paraId="523B2A31">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0.00</w:t>
            </w:r>
          </w:p>
        </w:tc>
        <w:tc>
          <w:tcPr>
            <w:tcW w:w="576" w:type="pct"/>
            <w:shd w:val="clear" w:color="auto" w:fill="auto"/>
            <w:noWrap/>
            <w:vAlign w:val="center"/>
          </w:tcPr>
          <w:p w14:paraId="42CE8B3E">
            <w:pPr>
              <w:widowControl/>
              <w:spacing w:line="240" w:lineRule="auto"/>
              <w:ind w:firstLine="0" w:firstLineChars="0"/>
              <w:jc w:val="center"/>
              <w:textAlignment w:val="center"/>
              <w:rPr>
                <w:rFonts w:eastAsia="宋体" w:cs="Times New Roman"/>
                <w:color w:val="000000"/>
                <w:sz w:val="20"/>
                <w:szCs w:val="20"/>
              </w:rPr>
            </w:pPr>
            <w:r>
              <w:rPr>
                <w:rFonts w:eastAsia="等线" w:cs="Times New Roman"/>
                <w:color w:val="000000"/>
                <w:sz w:val="20"/>
                <w:szCs w:val="20"/>
              </w:rPr>
              <w:t>0.00</w:t>
            </w:r>
            <w:r>
              <w:rPr>
                <w:rFonts w:hint="eastAsia" w:eastAsia="等线" w:cs="Times New Roman"/>
                <w:color w:val="000000"/>
                <w:sz w:val="20"/>
                <w:szCs w:val="20"/>
              </w:rPr>
              <w:t>%</w:t>
            </w:r>
          </w:p>
        </w:tc>
      </w:tr>
      <w:tr w14:paraId="345F4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77" w:type="pct"/>
            <w:vMerge w:val="continue"/>
            <w:shd w:val="clear" w:color="auto" w:fill="auto"/>
            <w:vAlign w:val="center"/>
          </w:tcPr>
          <w:p w14:paraId="614DB832">
            <w:pPr>
              <w:spacing w:line="240" w:lineRule="auto"/>
              <w:ind w:firstLine="0" w:firstLineChars="0"/>
              <w:jc w:val="center"/>
              <w:rPr>
                <w:rFonts w:eastAsia="宋体" w:cs="Times New Roman"/>
                <w:color w:val="000000"/>
                <w:sz w:val="20"/>
                <w:szCs w:val="20"/>
              </w:rPr>
            </w:pPr>
          </w:p>
        </w:tc>
        <w:tc>
          <w:tcPr>
            <w:tcW w:w="1014" w:type="pct"/>
            <w:vMerge w:val="continue"/>
            <w:shd w:val="clear" w:color="auto" w:fill="auto"/>
            <w:noWrap/>
            <w:vAlign w:val="center"/>
          </w:tcPr>
          <w:p w14:paraId="7DA04DAC">
            <w:pPr>
              <w:spacing w:line="240" w:lineRule="auto"/>
              <w:ind w:firstLine="0" w:firstLineChars="0"/>
              <w:jc w:val="center"/>
              <w:rPr>
                <w:rFonts w:eastAsia="宋体" w:cs="Times New Roman"/>
                <w:color w:val="000000"/>
                <w:sz w:val="20"/>
                <w:szCs w:val="20"/>
              </w:rPr>
            </w:pPr>
          </w:p>
        </w:tc>
        <w:tc>
          <w:tcPr>
            <w:tcW w:w="1704" w:type="pct"/>
            <w:shd w:val="clear" w:color="auto" w:fill="auto"/>
            <w:vAlign w:val="center"/>
          </w:tcPr>
          <w:p w14:paraId="09D0B4D3">
            <w:pPr>
              <w:widowControl/>
              <w:spacing w:line="240" w:lineRule="auto"/>
              <w:ind w:firstLine="0" w:firstLineChars="0"/>
              <w:jc w:val="center"/>
              <w:textAlignment w:val="center"/>
              <w:rPr>
                <w:rFonts w:eastAsia="宋体" w:cs="Times New Roman"/>
                <w:color w:val="000000"/>
                <w:sz w:val="20"/>
                <w:szCs w:val="20"/>
              </w:rPr>
            </w:pPr>
            <w:r>
              <w:rPr>
                <w:rFonts w:eastAsia="宋体" w:cs="Times New Roman"/>
                <w:color w:val="000000"/>
                <w:kern w:val="0"/>
                <w:sz w:val="20"/>
                <w:szCs w:val="20"/>
              </w:rPr>
              <w:t>资金使用合规性</w:t>
            </w:r>
          </w:p>
        </w:tc>
        <w:tc>
          <w:tcPr>
            <w:tcW w:w="414" w:type="pct"/>
            <w:shd w:val="clear" w:color="auto" w:fill="auto"/>
            <w:vAlign w:val="center"/>
          </w:tcPr>
          <w:p w14:paraId="26B5C783">
            <w:pPr>
              <w:widowControl/>
              <w:spacing w:line="240" w:lineRule="auto"/>
              <w:ind w:firstLine="0" w:firstLineChars="0"/>
              <w:jc w:val="center"/>
              <w:textAlignment w:val="center"/>
              <w:rPr>
                <w:rFonts w:eastAsia="宋体" w:cs="Times New Roman"/>
                <w:color w:val="000000"/>
                <w:sz w:val="20"/>
                <w:szCs w:val="20"/>
              </w:rPr>
            </w:pPr>
            <w:r>
              <w:rPr>
                <w:rFonts w:eastAsia="等线" w:cs="Times New Roman"/>
                <w:color w:val="000000"/>
                <w:sz w:val="20"/>
                <w:szCs w:val="20"/>
              </w:rPr>
              <w:t>1.00</w:t>
            </w:r>
          </w:p>
        </w:tc>
        <w:tc>
          <w:tcPr>
            <w:tcW w:w="515" w:type="pct"/>
            <w:tcBorders>
              <w:top w:val="single" w:color="auto" w:sz="4" w:space="0"/>
              <w:left w:val="nil"/>
              <w:bottom w:val="single" w:color="auto" w:sz="4" w:space="0"/>
              <w:right w:val="single" w:color="auto" w:sz="4" w:space="0"/>
            </w:tcBorders>
            <w:shd w:val="clear" w:color="auto" w:fill="auto"/>
            <w:noWrap/>
            <w:vAlign w:val="center"/>
          </w:tcPr>
          <w:p w14:paraId="26B3C3A9">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1.00</w:t>
            </w:r>
          </w:p>
        </w:tc>
        <w:tc>
          <w:tcPr>
            <w:tcW w:w="576" w:type="pct"/>
            <w:shd w:val="clear" w:color="auto" w:fill="auto"/>
            <w:noWrap/>
            <w:vAlign w:val="center"/>
          </w:tcPr>
          <w:p w14:paraId="5965E06B">
            <w:pPr>
              <w:widowControl/>
              <w:spacing w:line="240" w:lineRule="auto"/>
              <w:ind w:firstLine="0" w:firstLineChars="0"/>
              <w:jc w:val="center"/>
              <w:textAlignment w:val="center"/>
              <w:rPr>
                <w:rFonts w:eastAsia="宋体" w:cs="Times New Roman"/>
                <w:color w:val="000000"/>
                <w:sz w:val="20"/>
                <w:szCs w:val="20"/>
              </w:rPr>
            </w:pPr>
            <w:r>
              <w:rPr>
                <w:rFonts w:eastAsia="等线" w:cs="Times New Roman"/>
                <w:color w:val="000000"/>
                <w:sz w:val="20"/>
                <w:szCs w:val="20"/>
              </w:rPr>
              <w:t>100.00</w:t>
            </w:r>
            <w:r>
              <w:rPr>
                <w:rFonts w:hint="eastAsia" w:eastAsia="等线" w:cs="Times New Roman"/>
                <w:color w:val="000000"/>
                <w:sz w:val="20"/>
                <w:szCs w:val="20"/>
              </w:rPr>
              <w:t>%</w:t>
            </w:r>
          </w:p>
        </w:tc>
      </w:tr>
      <w:tr w14:paraId="7D794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777" w:type="pct"/>
            <w:vMerge w:val="continue"/>
            <w:shd w:val="clear" w:color="auto" w:fill="auto"/>
            <w:vAlign w:val="center"/>
          </w:tcPr>
          <w:p w14:paraId="4558743F">
            <w:pPr>
              <w:spacing w:line="240" w:lineRule="auto"/>
              <w:ind w:firstLine="0" w:firstLineChars="0"/>
              <w:jc w:val="center"/>
              <w:rPr>
                <w:rFonts w:eastAsia="宋体" w:cs="Times New Roman"/>
                <w:color w:val="000000"/>
                <w:sz w:val="20"/>
                <w:szCs w:val="20"/>
              </w:rPr>
            </w:pPr>
          </w:p>
        </w:tc>
        <w:tc>
          <w:tcPr>
            <w:tcW w:w="1014" w:type="pct"/>
            <w:vMerge w:val="continue"/>
            <w:shd w:val="clear" w:color="auto" w:fill="auto"/>
            <w:noWrap/>
            <w:vAlign w:val="center"/>
          </w:tcPr>
          <w:p w14:paraId="6D706FD9">
            <w:pPr>
              <w:spacing w:line="240" w:lineRule="auto"/>
              <w:ind w:firstLine="0" w:firstLineChars="0"/>
              <w:jc w:val="center"/>
              <w:rPr>
                <w:rFonts w:eastAsia="宋体" w:cs="Times New Roman"/>
                <w:color w:val="000000"/>
                <w:sz w:val="20"/>
                <w:szCs w:val="20"/>
              </w:rPr>
            </w:pPr>
          </w:p>
        </w:tc>
        <w:tc>
          <w:tcPr>
            <w:tcW w:w="1704" w:type="pct"/>
            <w:shd w:val="clear" w:color="auto" w:fill="auto"/>
            <w:vAlign w:val="center"/>
          </w:tcPr>
          <w:p w14:paraId="0D7FC54E">
            <w:pPr>
              <w:widowControl/>
              <w:spacing w:line="240" w:lineRule="auto"/>
              <w:ind w:firstLine="0" w:firstLineChars="0"/>
              <w:jc w:val="center"/>
              <w:textAlignment w:val="center"/>
              <w:rPr>
                <w:rFonts w:eastAsia="宋体" w:cs="Times New Roman"/>
                <w:color w:val="000000"/>
                <w:sz w:val="20"/>
                <w:szCs w:val="20"/>
              </w:rPr>
            </w:pPr>
            <w:r>
              <w:rPr>
                <w:rFonts w:eastAsia="宋体" w:cs="Times New Roman"/>
                <w:color w:val="000000"/>
                <w:kern w:val="0"/>
                <w:sz w:val="20"/>
                <w:szCs w:val="20"/>
              </w:rPr>
              <w:t>财务监控有效性</w:t>
            </w:r>
          </w:p>
        </w:tc>
        <w:tc>
          <w:tcPr>
            <w:tcW w:w="414" w:type="pct"/>
            <w:shd w:val="clear" w:color="auto" w:fill="auto"/>
            <w:vAlign w:val="center"/>
          </w:tcPr>
          <w:p w14:paraId="79C10358">
            <w:pPr>
              <w:widowControl/>
              <w:spacing w:line="240" w:lineRule="auto"/>
              <w:ind w:firstLine="0" w:firstLineChars="0"/>
              <w:jc w:val="center"/>
              <w:textAlignment w:val="center"/>
              <w:rPr>
                <w:rFonts w:eastAsia="宋体" w:cs="Times New Roman"/>
                <w:color w:val="000000"/>
                <w:sz w:val="20"/>
                <w:szCs w:val="20"/>
              </w:rPr>
            </w:pPr>
            <w:r>
              <w:rPr>
                <w:rFonts w:eastAsia="等线" w:cs="Times New Roman"/>
                <w:color w:val="000000"/>
                <w:sz w:val="20"/>
                <w:szCs w:val="20"/>
              </w:rPr>
              <w:t>2.00</w:t>
            </w:r>
          </w:p>
        </w:tc>
        <w:tc>
          <w:tcPr>
            <w:tcW w:w="515" w:type="pct"/>
            <w:tcBorders>
              <w:top w:val="single" w:color="auto" w:sz="4" w:space="0"/>
              <w:left w:val="nil"/>
              <w:bottom w:val="single" w:color="auto" w:sz="4" w:space="0"/>
              <w:right w:val="single" w:color="auto" w:sz="4" w:space="0"/>
            </w:tcBorders>
            <w:shd w:val="clear" w:color="auto" w:fill="auto"/>
            <w:noWrap/>
            <w:vAlign w:val="center"/>
          </w:tcPr>
          <w:p w14:paraId="7CAA4824">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1.00</w:t>
            </w:r>
          </w:p>
        </w:tc>
        <w:tc>
          <w:tcPr>
            <w:tcW w:w="576" w:type="pct"/>
            <w:shd w:val="clear" w:color="auto" w:fill="auto"/>
            <w:noWrap/>
            <w:vAlign w:val="center"/>
          </w:tcPr>
          <w:p w14:paraId="2B9E92FA">
            <w:pPr>
              <w:widowControl/>
              <w:spacing w:line="240" w:lineRule="auto"/>
              <w:ind w:firstLine="0" w:firstLineChars="0"/>
              <w:jc w:val="center"/>
              <w:textAlignment w:val="center"/>
              <w:rPr>
                <w:rFonts w:eastAsia="宋体" w:cs="Times New Roman"/>
                <w:color w:val="000000"/>
                <w:sz w:val="20"/>
                <w:szCs w:val="20"/>
              </w:rPr>
            </w:pPr>
            <w:r>
              <w:rPr>
                <w:rFonts w:eastAsia="等线" w:cs="Times New Roman"/>
                <w:color w:val="000000"/>
                <w:sz w:val="20"/>
                <w:szCs w:val="20"/>
              </w:rPr>
              <w:t>50.00</w:t>
            </w:r>
            <w:r>
              <w:rPr>
                <w:rFonts w:hint="eastAsia" w:eastAsia="等线" w:cs="Times New Roman"/>
                <w:color w:val="000000"/>
                <w:sz w:val="20"/>
                <w:szCs w:val="20"/>
              </w:rPr>
              <w:t>%</w:t>
            </w:r>
          </w:p>
        </w:tc>
      </w:tr>
      <w:tr w14:paraId="116EC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77" w:type="pct"/>
            <w:vMerge w:val="continue"/>
            <w:shd w:val="clear" w:color="auto" w:fill="auto"/>
            <w:vAlign w:val="center"/>
          </w:tcPr>
          <w:p w14:paraId="3141F1F8">
            <w:pPr>
              <w:spacing w:line="240" w:lineRule="auto"/>
              <w:ind w:firstLine="0" w:firstLineChars="0"/>
              <w:jc w:val="center"/>
              <w:rPr>
                <w:rFonts w:eastAsia="宋体" w:cs="Times New Roman"/>
                <w:color w:val="000000"/>
                <w:sz w:val="20"/>
                <w:szCs w:val="20"/>
              </w:rPr>
            </w:pPr>
          </w:p>
        </w:tc>
        <w:tc>
          <w:tcPr>
            <w:tcW w:w="1014" w:type="pct"/>
            <w:shd w:val="clear" w:color="auto" w:fill="auto"/>
            <w:vAlign w:val="center"/>
          </w:tcPr>
          <w:p w14:paraId="49EC7775">
            <w:pPr>
              <w:widowControl/>
              <w:spacing w:line="240" w:lineRule="auto"/>
              <w:ind w:firstLine="0" w:firstLineChars="0"/>
              <w:jc w:val="center"/>
              <w:textAlignment w:val="center"/>
              <w:rPr>
                <w:rFonts w:eastAsia="宋体" w:cs="Times New Roman"/>
                <w:color w:val="000000"/>
                <w:sz w:val="20"/>
                <w:szCs w:val="20"/>
              </w:rPr>
            </w:pPr>
            <w:r>
              <w:rPr>
                <w:rFonts w:eastAsia="宋体" w:cs="Times New Roman"/>
                <w:color w:val="000000"/>
                <w:kern w:val="0"/>
                <w:sz w:val="20"/>
                <w:szCs w:val="20"/>
              </w:rPr>
              <w:t>行政成本</w:t>
            </w:r>
          </w:p>
        </w:tc>
        <w:tc>
          <w:tcPr>
            <w:tcW w:w="1704" w:type="pct"/>
            <w:shd w:val="clear" w:color="auto" w:fill="auto"/>
            <w:vAlign w:val="center"/>
          </w:tcPr>
          <w:p w14:paraId="0FAF9E78">
            <w:pPr>
              <w:widowControl/>
              <w:spacing w:line="240" w:lineRule="auto"/>
              <w:ind w:firstLine="0" w:firstLineChars="0"/>
              <w:jc w:val="center"/>
              <w:textAlignment w:val="center"/>
              <w:rPr>
                <w:rFonts w:eastAsia="宋体" w:cs="Times New Roman"/>
                <w:color w:val="000000"/>
                <w:sz w:val="20"/>
                <w:szCs w:val="20"/>
              </w:rPr>
            </w:pPr>
            <w:r>
              <w:rPr>
                <w:rFonts w:eastAsia="宋体" w:cs="Times New Roman"/>
                <w:color w:val="000000"/>
                <w:kern w:val="0"/>
                <w:sz w:val="20"/>
                <w:szCs w:val="20"/>
              </w:rPr>
              <w:t>“三公”经费控制</w:t>
            </w:r>
          </w:p>
        </w:tc>
        <w:tc>
          <w:tcPr>
            <w:tcW w:w="414" w:type="pct"/>
            <w:shd w:val="clear" w:color="auto" w:fill="auto"/>
            <w:noWrap/>
            <w:vAlign w:val="center"/>
          </w:tcPr>
          <w:p w14:paraId="5F5F28B3">
            <w:pPr>
              <w:widowControl/>
              <w:spacing w:line="240" w:lineRule="auto"/>
              <w:ind w:firstLine="0" w:firstLineChars="0"/>
              <w:jc w:val="center"/>
              <w:textAlignment w:val="center"/>
              <w:rPr>
                <w:rFonts w:eastAsia="宋体" w:cs="Times New Roman"/>
                <w:color w:val="000000"/>
                <w:sz w:val="20"/>
                <w:szCs w:val="20"/>
              </w:rPr>
            </w:pPr>
            <w:r>
              <w:rPr>
                <w:rFonts w:eastAsia="等线" w:cs="Times New Roman"/>
                <w:color w:val="000000"/>
                <w:sz w:val="20"/>
                <w:szCs w:val="20"/>
              </w:rPr>
              <w:t>1.00</w:t>
            </w:r>
          </w:p>
        </w:tc>
        <w:tc>
          <w:tcPr>
            <w:tcW w:w="515" w:type="pct"/>
            <w:tcBorders>
              <w:top w:val="single" w:color="auto" w:sz="4" w:space="0"/>
              <w:left w:val="nil"/>
              <w:bottom w:val="single" w:color="auto" w:sz="4" w:space="0"/>
              <w:right w:val="single" w:color="auto" w:sz="4" w:space="0"/>
            </w:tcBorders>
            <w:shd w:val="clear" w:color="auto" w:fill="auto"/>
            <w:noWrap/>
            <w:vAlign w:val="center"/>
          </w:tcPr>
          <w:p w14:paraId="60A94353">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1.00</w:t>
            </w:r>
          </w:p>
        </w:tc>
        <w:tc>
          <w:tcPr>
            <w:tcW w:w="576" w:type="pct"/>
            <w:shd w:val="clear" w:color="auto" w:fill="auto"/>
            <w:noWrap/>
            <w:vAlign w:val="center"/>
          </w:tcPr>
          <w:p w14:paraId="5888C15C">
            <w:pPr>
              <w:widowControl/>
              <w:spacing w:line="240" w:lineRule="auto"/>
              <w:ind w:firstLine="0" w:firstLineChars="0"/>
              <w:jc w:val="center"/>
              <w:textAlignment w:val="center"/>
              <w:rPr>
                <w:rFonts w:eastAsia="宋体" w:cs="Times New Roman"/>
                <w:color w:val="000000"/>
                <w:sz w:val="20"/>
                <w:szCs w:val="20"/>
              </w:rPr>
            </w:pPr>
            <w:r>
              <w:rPr>
                <w:rFonts w:eastAsia="等线" w:cs="Times New Roman"/>
                <w:color w:val="000000"/>
                <w:sz w:val="20"/>
                <w:szCs w:val="20"/>
              </w:rPr>
              <w:t>100.00</w:t>
            </w:r>
            <w:r>
              <w:rPr>
                <w:rFonts w:hint="eastAsia" w:eastAsia="等线" w:cs="Times New Roman"/>
                <w:color w:val="000000"/>
                <w:sz w:val="20"/>
                <w:szCs w:val="20"/>
              </w:rPr>
              <w:t>%</w:t>
            </w:r>
          </w:p>
        </w:tc>
      </w:tr>
      <w:tr w14:paraId="2C72D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77" w:type="pct"/>
            <w:vMerge w:val="continue"/>
            <w:shd w:val="clear" w:color="auto" w:fill="auto"/>
            <w:vAlign w:val="center"/>
          </w:tcPr>
          <w:p w14:paraId="624B2B11">
            <w:pPr>
              <w:spacing w:line="240" w:lineRule="auto"/>
              <w:ind w:firstLine="0" w:firstLineChars="0"/>
              <w:jc w:val="center"/>
              <w:rPr>
                <w:rFonts w:eastAsia="宋体" w:cs="Times New Roman"/>
                <w:color w:val="000000"/>
                <w:sz w:val="20"/>
                <w:szCs w:val="20"/>
              </w:rPr>
            </w:pPr>
          </w:p>
        </w:tc>
        <w:tc>
          <w:tcPr>
            <w:tcW w:w="1014" w:type="pct"/>
            <w:shd w:val="clear" w:color="auto" w:fill="auto"/>
            <w:vAlign w:val="center"/>
          </w:tcPr>
          <w:p w14:paraId="78C02827">
            <w:pPr>
              <w:widowControl/>
              <w:spacing w:line="240" w:lineRule="auto"/>
              <w:ind w:firstLine="0" w:firstLineChars="0"/>
              <w:jc w:val="center"/>
              <w:textAlignment w:val="center"/>
              <w:rPr>
                <w:rFonts w:eastAsia="宋体" w:cs="Times New Roman"/>
                <w:color w:val="000000"/>
                <w:sz w:val="20"/>
                <w:szCs w:val="20"/>
              </w:rPr>
            </w:pPr>
            <w:r>
              <w:rPr>
                <w:rFonts w:eastAsia="宋体" w:cs="Times New Roman"/>
                <w:color w:val="000000"/>
                <w:kern w:val="0"/>
                <w:sz w:val="20"/>
                <w:szCs w:val="20"/>
              </w:rPr>
              <w:t>政府采购</w:t>
            </w:r>
          </w:p>
        </w:tc>
        <w:tc>
          <w:tcPr>
            <w:tcW w:w="1704" w:type="pct"/>
            <w:shd w:val="clear" w:color="auto" w:fill="auto"/>
            <w:vAlign w:val="center"/>
          </w:tcPr>
          <w:p w14:paraId="7ED15F78">
            <w:pPr>
              <w:widowControl/>
              <w:spacing w:line="240" w:lineRule="auto"/>
              <w:ind w:firstLine="0" w:firstLineChars="0"/>
              <w:jc w:val="center"/>
              <w:textAlignment w:val="center"/>
              <w:rPr>
                <w:rFonts w:eastAsia="宋体" w:cs="Times New Roman"/>
                <w:color w:val="000000"/>
                <w:sz w:val="20"/>
                <w:szCs w:val="20"/>
              </w:rPr>
            </w:pPr>
            <w:r>
              <w:rPr>
                <w:rFonts w:eastAsia="宋体" w:cs="Times New Roman"/>
                <w:color w:val="000000"/>
                <w:kern w:val="0"/>
                <w:sz w:val="20"/>
                <w:szCs w:val="20"/>
              </w:rPr>
              <w:t>采购规范性</w:t>
            </w:r>
          </w:p>
        </w:tc>
        <w:tc>
          <w:tcPr>
            <w:tcW w:w="414" w:type="pct"/>
            <w:shd w:val="clear" w:color="auto" w:fill="auto"/>
            <w:noWrap/>
            <w:vAlign w:val="center"/>
          </w:tcPr>
          <w:p w14:paraId="41486FD0">
            <w:pPr>
              <w:widowControl/>
              <w:spacing w:line="240" w:lineRule="auto"/>
              <w:ind w:firstLine="0" w:firstLineChars="0"/>
              <w:jc w:val="center"/>
              <w:textAlignment w:val="center"/>
              <w:rPr>
                <w:rFonts w:eastAsia="宋体" w:cs="Times New Roman"/>
                <w:color w:val="000000"/>
                <w:sz w:val="20"/>
                <w:szCs w:val="20"/>
              </w:rPr>
            </w:pPr>
            <w:r>
              <w:rPr>
                <w:rFonts w:eastAsia="等线" w:cs="Times New Roman"/>
                <w:color w:val="000000"/>
                <w:sz w:val="20"/>
                <w:szCs w:val="20"/>
              </w:rPr>
              <w:t>1.00</w:t>
            </w:r>
          </w:p>
        </w:tc>
        <w:tc>
          <w:tcPr>
            <w:tcW w:w="515" w:type="pct"/>
            <w:tcBorders>
              <w:top w:val="single" w:color="auto" w:sz="4" w:space="0"/>
              <w:left w:val="nil"/>
              <w:bottom w:val="single" w:color="auto" w:sz="4" w:space="0"/>
              <w:right w:val="single" w:color="auto" w:sz="4" w:space="0"/>
            </w:tcBorders>
            <w:shd w:val="clear" w:color="auto" w:fill="auto"/>
            <w:noWrap/>
            <w:vAlign w:val="center"/>
          </w:tcPr>
          <w:p w14:paraId="12F643B9">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0.50</w:t>
            </w:r>
          </w:p>
        </w:tc>
        <w:tc>
          <w:tcPr>
            <w:tcW w:w="576" w:type="pct"/>
            <w:shd w:val="clear" w:color="auto" w:fill="auto"/>
            <w:noWrap/>
            <w:vAlign w:val="center"/>
          </w:tcPr>
          <w:p w14:paraId="0C90DCCA">
            <w:pPr>
              <w:widowControl/>
              <w:spacing w:line="240" w:lineRule="auto"/>
              <w:ind w:firstLine="0" w:firstLineChars="0"/>
              <w:jc w:val="center"/>
              <w:textAlignment w:val="center"/>
              <w:rPr>
                <w:rFonts w:eastAsia="宋体" w:cs="Times New Roman"/>
                <w:color w:val="000000"/>
                <w:sz w:val="20"/>
                <w:szCs w:val="20"/>
              </w:rPr>
            </w:pPr>
            <w:r>
              <w:rPr>
                <w:rFonts w:eastAsia="等线" w:cs="Times New Roman"/>
                <w:color w:val="000000"/>
                <w:sz w:val="20"/>
                <w:szCs w:val="20"/>
              </w:rPr>
              <w:t>50.00</w:t>
            </w:r>
            <w:r>
              <w:rPr>
                <w:rFonts w:hint="eastAsia" w:eastAsia="等线" w:cs="Times New Roman"/>
                <w:color w:val="000000"/>
                <w:sz w:val="20"/>
                <w:szCs w:val="20"/>
              </w:rPr>
              <w:t>%</w:t>
            </w:r>
          </w:p>
        </w:tc>
      </w:tr>
      <w:tr w14:paraId="1EA72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777" w:type="pct"/>
            <w:vMerge w:val="continue"/>
            <w:shd w:val="clear" w:color="auto" w:fill="auto"/>
            <w:vAlign w:val="center"/>
          </w:tcPr>
          <w:p w14:paraId="4CABF5A6">
            <w:pPr>
              <w:spacing w:line="240" w:lineRule="auto"/>
              <w:ind w:firstLine="0" w:firstLineChars="0"/>
              <w:jc w:val="center"/>
              <w:rPr>
                <w:rFonts w:eastAsia="宋体" w:cs="Times New Roman"/>
                <w:color w:val="000000"/>
                <w:sz w:val="20"/>
                <w:szCs w:val="20"/>
              </w:rPr>
            </w:pPr>
          </w:p>
        </w:tc>
        <w:tc>
          <w:tcPr>
            <w:tcW w:w="1014" w:type="pct"/>
            <w:shd w:val="clear" w:color="auto" w:fill="auto"/>
            <w:vAlign w:val="center"/>
          </w:tcPr>
          <w:p w14:paraId="7BFBB9F1">
            <w:pPr>
              <w:widowControl/>
              <w:spacing w:line="240" w:lineRule="auto"/>
              <w:ind w:firstLine="0" w:firstLineChars="0"/>
              <w:jc w:val="center"/>
              <w:textAlignment w:val="center"/>
              <w:rPr>
                <w:rFonts w:eastAsia="宋体" w:cs="Times New Roman"/>
                <w:color w:val="000000"/>
                <w:sz w:val="20"/>
                <w:szCs w:val="20"/>
              </w:rPr>
            </w:pPr>
            <w:r>
              <w:rPr>
                <w:rFonts w:eastAsia="宋体" w:cs="Times New Roman"/>
                <w:color w:val="000000"/>
                <w:kern w:val="0"/>
                <w:sz w:val="20"/>
                <w:szCs w:val="20"/>
              </w:rPr>
              <w:t>资产管理</w:t>
            </w:r>
          </w:p>
        </w:tc>
        <w:tc>
          <w:tcPr>
            <w:tcW w:w="1704" w:type="pct"/>
            <w:shd w:val="clear" w:color="auto" w:fill="auto"/>
            <w:vAlign w:val="center"/>
          </w:tcPr>
          <w:p w14:paraId="03194E30">
            <w:pPr>
              <w:widowControl/>
              <w:spacing w:line="240" w:lineRule="auto"/>
              <w:ind w:firstLine="0" w:firstLineChars="0"/>
              <w:jc w:val="center"/>
              <w:textAlignment w:val="center"/>
              <w:rPr>
                <w:rFonts w:eastAsia="宋体" w:cs="Times New Roman"/>
                <w:color w:val="000000"/>
                <w:sz w:val="20"/>
                <w:szCs w:val="20"/>
              </w:rPr>
            </w:pPr>
            <w:r>
              <w:rPr>
                <w:rFonts w:eastAsia="宋体" w:cs="Times New Roman"/>
                <w:color w:val="000000"/>
                <w:kern w:val="0"/>
                <w:sz w:val="20"/>
                <w:szCs w:val="20"/>
              </w:rPr>
              <w:t>固定资产在用率</w:t>
            </w:r>
          </w:p>
        </w:tc>
        <w:tc>
          <w:tcPr>
            <w:tcW w:w="414" w:type="pct"/>
            <w:shd w:val="clear" w:color="auto" w:fill="auto"/>
            <w:noWrap/>
            <w:vAlign w:val="center"/>
          </w:tcPr>
          <w:p w14:paraId="7CD92FD2">
            <w:pPr>
              <w:widowControl/>
              <w:spacing w:line="240" w:lineRule="auto"/>
              <w:ind w:firstLine="0" w:firstLineChars="0"/>
              <w:jc w:val="center"/>
              <w:textAlignment w:val="center"/>
              <w:rPr>
                <w:rFonts w:eastAsia="宋体" w:cs="Times New Roman"/>
                <w:color w:val="000000"/>
                <w:sz w:val="20"/>
                <w:szCs w:val="20"/>
              </w:rPr>
            </w:pPr>
            <w:r>
              <w:rPr>
                <w:rFonts w:eastAsia="等线" w:cs="Times New Roman"/>
                <w:color w:val="000000"/>
                <w:sz w:val="20"/>
                <w:szCs w:val="20"/>
              </w:rPr>
              <w:t>2.00</w:t>
            </w:r>
          </w:p>
        </w:tc>
        <w:tc>
          <w:tcPr>
            <w:tcW w:w="515" w:type="pct"/>
            <w:tcBorders>
              <w:top w:val="single" w:color="auto" w:sz="4" w:space="0"/>
              <w:left w:val="nil"/>
              <w:bottom w:val="single" w:color="auto" w:sz="4" w:space="0"/>
              <w:right w:val="single" w:color="auto" w:sz="4" w:space="0"/>
            </w:tcBorders>
            <w:shd w:val="clear" w:color="auto" w:fill="auto"/>
            <w:noWrap/>
            <w:vAlign w:val="center"/>
          </w:tcPr>
          <w:p w14:paraId="330C87D3">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2.00</w:t>
            </w:r>
          </w:p>
        </w:tc>
        <w:tc>
          <w:tcPr>
            <w:tcW w:w="576" w:type="pct"/>
            <w:shd w:val="clear" w:color="auto" w:fill="auto"/>
            <w:noWrap/>
            <w:vAlign w:val="center"/>
          </w:tcPr>
          <w:p w14:paraId="02C36FDD">
            <w:pPr>
              <w:widowControl/>
              <w:spacing w:line="240" w:lineRule="auto"/>
              <w:ind w:firstLine="0" w:firstLineChars="0"/>
              <w:jc w:val="center"/>
              <w:textAlignment w:val="center"/>
              <w:rPr>
                <w:rFonts w:eastAsia="宋体" w:cs="Times New Roman"/>
                <w:color w:val="000000"/>
                <w:sz w:val="20"/>
                <w:szCs w:val="20"/>
              </w:rPr>
            </w:pPr>
            <w:r>
              <w:rPr>
                <w:rFonts w:eastAsia="等线" w:cs="Times New Roman"/>
                <w:color w:val="000000"/>
                <w:sz w:val="20"/>
                <w:szCs w:val="20"/>
              </w:rPr>
              <w:t>100.00</w:t>
            </w:r>
            <w:r>
              <w:rPr>
                <w:rFonts w:hint="eastAsia" w:eastAsia="等线" w:cs="Times New Roman"/>
                <w:color w:val="000000"/>
                <w:sz w:val="20"/>
                <w:szCs w:val="20"/>
              </w:rPr>
              <w:t>%</w:t>
            </w:r>
          </w:p>
        </w:tc>
      </w:tr>
      <w:tr w14:paraId="7E4FD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777" w:type="pct"/>
            <w:vMerge w:val="continue"/>
            <w:shd w:val="clear" w:color="auto" w:fill="auto"/>
            <w:vAlign w:val="center"/>
          </w:tcPr>
          <w:p w14:paraId="0E5C7175">
            <w:pPr>
              <w:spacing w:line="240" w:lineRule="auto"/>
              <w:ind w:firstLine="0" w:firstLineChars="0"/>
              <w:jc w:val="center"/>
              <w:rPr>
                <w:rFonts w:eastAsia="宋体" w:cs="Times New Roman"/>
                <w:color w:val="000000"/>
                <w:sz w:val="20"/>
                <w:szCs w:val="20"/>
              </w:rPr>
            </w:pPr>
          </w:p>
        </w:tc>
        <w:tc>
          <w:tcPr>
            <w:tcW w:w="1014" w:type="pct"/>
            <w:tcBorders>
              <w:bottom w:val="single" w:color="auto" w:sz="4" w:space="0"/>
            </w:tcBorders>
            <w:shd w:val="clear" w:color="auto" w:fill="auto"/>
            <w:vAlign w:val="center"/>
          </w:tcPr>
          <w:p w14:paraId="0B793EF1">
            <w:pPr>
              <w:widowControl/>
              <w:spacing w:line="240" w:lineRule="auto"/>
              <w:ind w:firstLine="0" w:firstLineChars="0"/>
              <w:jc w:val="center"/>
              <w:textAlignment w:val="center"/>
              <w:rPr>
                <w:rFonts w:eastAsia="宋体" w:cs="Times New Roman"/>
                <w:color w:val="000000"/>
                <w:sz w:val="20"/>
                <w:szCs w:val="20"/>
              </w:rPr>
            </w:pPr>
            <w:r>
              <w:rPr>
                <w:rFonts w:eastAsia="宋体" w:cs="Times New Roman"/>
                <w:color w:val="000000"/>
                <w:kern w:val="0"/>
                <w:sz w:val="20"/>
                <w:szCs w:val="20"/>
              </w:rPr>
              <w:t>信息公开</w:t>
            </w:r>
          </w:p>
        </w:tc>
        <w:tc>
          <w:tcPr>
            <w:tcW w:w="1704" w:type="pct"/>
            <w:tcBorders>
              <w:bottom w:val="single" w:color="auto" w:sz="4" w:space="0"/>
            </w:tcBorders>
            <w:shd w:val="clear" w:color="auto" w:fill="auto"/>
            <w:vAlign w:val="center"/>
          </w:tcPr>
          <w:p w14:paraId="4570682F">
            <w:pPr>
              <w:widowControl/>
              <w:spacing w:line="240" w:lineRule="auto"/>
              <w:ind w:firstLine="0" w:firstLineChars="0"/>
              <w:jc w:val="center"/>
              <w:textAlignment w:val="center"/>
              <w:rPr>
                <w:rFonts w:eastAsia="宋体" w:cs="Times New Roman"/>
                <w:color w:val="000000"/>
                <w:sz w:val="20"/>
                <w:szCs w:val="20"/>
              </w:rPr>
            </w:pPr>
            <w:r>
              <w:rPr>
                <w:rFonts w:eastAsia="宋体" w:cs="Times New Roman"/>
                <w:color w:val="000000"/>
                <w:kern w:val="0"/>
                <w:sz w:val="20"/>
                <w:szCs w:val="20"/>
              </w:rPr>
              <w:t>信息公开</w:t>
            </w:r>
          </w:p>
        </w:tc>
        <w:tc>
          <w:tcPr>
            <w:tcW w:w="414" w:type="pct"/>
            <w:tcBorders>
              <w:bottom w:val="single" w:color="auto" w:sz="4" w:space="0"/>
            </w:tcBorders>
            <w:shd w:val="clear" w:color="auto" w:fill="auto"/>
            <w:noWrap/>
            <w:vAlign w:val="center"/>
          </w:tcPr>
          <w:p w14:paraId="0459BB9A">
            <w:pPr>
              <w:widowControl/>
              <w:spacing w:line="240" w:lineRule="auto"/>
              <w:ind w:firstLine="0" w:firstLineChars="0"/>
              <w:jc w:val="center"/>
              <w:textAlignment w:val="center"/>
              <w:rPr>
                <w:rFonts w:eastAsia="宋体" w:cs="Times New Roman"/>
                <w:color w:val="000000"/>
                <w:sz w:val="20"/>
                <w:szCs w:val="20"/>
              </w:rPr>
            </w:pPr>
            <w:r>
              <w:rPr>
                <w:rFonts w:eastAsia="等线" w:cs="Times New Roman"/>
                <w:color w:val="000000"/>
                <w:sz w:val="20"/>
                <w:szCs w:val="20"/>
              </w:rPr>
              <w:t>2.00</w:t>
            </w:r>
          </w:p>
        </w:tc>
        <w:tc>
          <w:tcPr>
            <w:tcW w:w="515" w:type="pct"/>
            <w:tcBorders>
              <w:top w:val="single" w:color="auto" w:sz="4" w:space="0"/>
              <w:left w:val="nil"/>
              <w:bottom w:val="single" w:color="auto" w:sz="4" w:space="0"/>
              <w:right w:val="single" w:color="auto" w:sz="4" w:space="0"/>
            </w:tcBorders>
            <w:shd w:val="clear" w:color="auto" w:fill="auto"/>
            <w:noWrap/>
            <w:vAlign w:val="center"/>
          </w:tcPr>
          <w:p w14:paraId="017EC556">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2.00</w:t>
            </w:r>
          </w:p>
        </w:tc>
        <w:tc>
          <w:tcPr>
            <w:tcW w:w="576" w:type="pct"/>
            <w:shd w:val="clear" w:color="auto" w:fill="auto"/>
            <w:noWrap/>
            <w:vAlign w:val="center"/>
          </w:tcPr>
          <w:p w14:paraId="7765252B">
            <w:pPr>
              <w:widowControl/>
              <w:spacing w:line="240" w:lineRule="auto"/>
              <w:ind w:firstLine="0" w:firstLineChars="0"/>
              <w:jc w:val="center"/>
              <w:textAlignment w:val="center"/>
              <w:rPr>
                <w:rFonts w:eastAsia="宋体" w:cs="Times New Roman"/>
                <w:color w:val="000000"/>
                <w:sz w:val="20"/>
                <w:szCs w:val="20"/>
              </w:rPr>
            </w:pPr>
            <w:r>
              <w:rPr>
                <w:rFonts w:eastAsia="等线" w:cs="Times New Roman"/>
                <w:color w:val="000000"/>
                <w:sz w:val="20"/>
                <w:szCs w:val="20"/>
              </w:rPr>
              <w:t>100.00</w:t>
            </w:r>
            <w:r>
              <w:rPr>
                <w:rFonts w:hint="eastAsia" w:eastAsia="等线" w:cs="Times New Roman"/>
                <w:color w:val="000000"/>
                <w:sz w:val="20"/>
                <w:szCs w:val="20"/>
              </w:rPr>
              <w:t>%</w:t>
            </w:r>
          </w:p>
        </w:tc>
      </w:tr>
      <w:tr w14:paraId="0BAF5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777" w:type="pct"/>
            <w:vMerge w:val="restart"/>
            <w:shd w:val="clear" w:color="auto" w:fill="auto"/>
            <w:vAlign w:val="center"/>
          </w:tcPr>
          <w:p w14:paraId="57818F99">
            <w:pPr>
              <w:spacing w:line="240" w:lineRule="auto"/>
              <w:ind w:firstLine="0" w:firstLineChars="0"/>
              <w:jc w:val="center"/>
              <w:rPr>
                <w:rFonts w:eastAsia="宋体" w:cs="Times New Roman"/>
                <w:color w:val="000000"/>
                <w:sz w:val="20"/>
                <w:szCs w:val="20"/>
              </w:rPr>
            </w:pPr>
            <w:r>
              <w:rPr>
                <w:rFonts w:eastAsia="宋体" w:cs="Times New Roman"/>
                <w:b/>
                <w:bCs/>
                <w:color w:val="000000"/>
                <w:kern w:val="0"/>
                <w:sz w:val="20"/>
                <w:szCs w:val="20"/>
              </w:rPr>
              <w:t>履职效能（70分）</w:t>
            </w:r>
          </w:p>
        </w:tc>
        <w:tc>
          <w:tcPr>
            <w:tcW w:w="1014" w:type="pct"/>
            <w:tcBorders>
              <w:bottom w:val="single" w:color="auto" w:sz="4" w:space="0"/>
              <w:right w:val="single" w:color="auto" w:sz="4" w:space="0"/>
            </w:tcBorders>
            <w:shd w:val="clear" w:color="auto" w:fill="auto"/>
            <w:vAlign w:val="center"/>
          </w:tcPr>
          <w:p w14:paraId="206EC776">
            <w:pPr>
              <w:widowControl/>
              <w:spacing w:line="240" w:lineRule="auto"/>
              <w:ind w:firstLine="0" w:firstLineChars="0"/>
              <w:jc w:val="center"/>
              <w:textAlignment w:val="center"/>
              <w:rPr>
                <w:rFonts w:eastAsia="宋体" w:cs="Times New Roman"/>
                <w:color w:val="000000"/>
                <w:kern w:val="0"/>
                <w:sz w:val="20"/>
                <w:szCs w:val="20"/>
              </w:rPr>
            </w:pPr>
            <w:r>
              <w:rPr>
                <w:rFonts w:eastAsia="宋体" w:cs="Times New Roman"/>
                <w:color w:val="000000"/>
                <w:kern w:val="0"/>
                <w:sz w:val="20"/>
                <w:szCs w:val="20"/>
              </w:rPr>
              <w:t>不动产登记</w:t>
            </w:r>
          </w:p>
        </w:tc>
        <w:tc>
          <w:tcPr>
            <w:tcW w:w="1704" w:type="pct"/>
            <w:tcBorders>
              <w:top w:val="single" w:color="auto" w:sz="4" w:space="0"/>
              <w:left w:val="single" w:color="auto" w:sz="4" w:space="0"/>
              <w:bottom w:val="single" w:color="auto" w:sz="4" w:space="0"/>
              <w:right w:val="single" w:color="auto" w:sz="4" w:space="0"/>
            </w:tcBorders>
            <w:shd w:val="clear" w:color="auto" w:fill="auto"/>
            <w:vAlign w:val="center"/>
          </w:tcPr>
          <w:p w14:paraId="54E6BC67">
            <w:pPr>
              <w:widowControl/>
              <w:spacing w:line="240" w:lineRule="auto"/>
              <w:ind w:firstLine="0" w:firstLineChars="0"/>
              <w:jc w:val="center"/>
              <w:textAlignment w:val="center"/>
              <w:rPr>
                <w:rFonts w:eastAsia="宋体" w:cs="Times New Roman"/>
                <w:color w:val="000000"/>
                <w:kern w:val="0"/>
                <w:sz w:val="20"/>
                <w:szCs w:val="20"/>
              </w:rPr>
            </w:pPr>
            <w:r>
              <w:rPr>
                <w:rFonts w:eastAsia="宋体" w:cs="Times New Roman"/>
                <w:color w:val="000000"/>
                <w:kern w:val="0"/>
                <w:sz w:val="20"/>
                <w:szCs w:val="20"/>
              </w:rPr>
              <w:t>提升不动产登记率</w:t>
            </w:r>
          </w:p>
        </w:tc>
        <w:tc>
          <w:tcPr>
            <w:tcW w:w="41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2D6A0A6">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6.00</w:t>
            </w:r>
          </w:p>
        </w:tc>
        <w:tc>
          <w:tcPr>
            <w:tcW w:w="51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EDDC2FD">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6.00</w:t>
            </w:r>
          </w:p>
        </w:tc>
        <w:tc>
          <w:tcPr>
            <w:tcW w:w="576" w:type="pct"/>
            <w:shd w:val="clear" w:color="auto" w:fill="auto"/>
            <w:noWrap/>
            <w:vAlign w:val="center"/>
          </w:tcPr>
          <w:p w14:paraId="4C8E5713">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100.00</w:t>
            </w:r>
            <w:r>
              <w:rPr>
                <w:rFonts w:hint="eastAsia" w:eastAsia="等线" w:cs="Times New Roman"/>
                <w:color w:val="000000"/>
                <w:sz w:val="20"/>
                <w:szCs w:val="20"/>
              </w:rPr>
              <w:t>%</w:t>
            </w:r>
          </w:p>
        </w:tc>
      </w:tr>
      <w:tr w14:paraId="4510A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777" w:type="pct"/>
            <w:vMerge w:val="continue"/>
            <w:shd w:val="clear" w:color="auto" w:fill="auto"/>
            <w:vAlign w:val="center"/>
          </w:tcPr>
          <w:p w14:paraId="60547789">
            <w:pPr>
              <w:spacing w:line="240" w:lineRule="auto"/>
              <w:ind w:firstLine="0" w:firstLineChars="0"/>
              <w:jc w:val="center"/>
              <w:rPr>
                <w:rFonts w:eastAsia="宋体" w:cs="Times New Roman"/>
                <w:color w:val="000000"/>
                <w:sz w:val="20"/>
                <w:szCs w:val="20"/>
              </w:rPr>
            </w:pPr>
          </w:p>
        </w:tc>
        <w:tc>
          <w:tcPr>
            <w:tcW w:w="1014" w:type="pct"/>
            <w:vMerge w:val="restart"/>
            <w:tcBorders>
              <w:top w:val="single" w:color="auto" w:sz="4" w:space="0"/>
              <w:bottom w:val="single" w:color="auto" w:sz="4" w:space="0"/>
              <w:right w:val="single" w:color="auto" w:sz="4" w:space="0"/>
            </w:tcBorders>
            <w:shd w:val="clear" w:color="auto" w:fill="auto"/>
            <w:vAlign w:val="center"/>
          </w:tcPr>
          <w:p w14:paraId="237ABEC7">
            <w:pPr>
              <w:widowControl/>
              <w:spacing w:line="240" w:lineRule="auto"/>
              <w:ind w:firstLine="0" w:firstLineChars="0"/>
              <w:jc w:val="center"/>
              <w:textAlignment w:val="center"/>
              <w:rPr>
                <w:rFonts w:eastAsia="宋体" w:cs="Times New Roman"/>
                <w:color w:val="000000"/>
                <w:kern w:val="0"/>
                <w:sz w:val="20"/>
                <w:szCs w:val="20"/>
              </w:rPr>
            </w:pPr>
            <w:r>
              <w:rPr>
                <w:rFonts w:eastAsia="宋体" w:cs="Times New Roman"/>
                <w:color w:val="000000"/>
                <w:kern w:val="0"/>
                <w:sz w:val="20"/>
                <w:szCs w:val="20"/>
              </w:rPr>
              <w:t>灾害防治</w:t>
            </w:r>
          </w:p>
        </w:tc>
        <w:tc>
          <w:tcPr>
            <w:tcW w:w="1704" w:type="pct"/>
            <w:tcBorders>
              <w:top w:val="single" w:color="auto" w:sz="4" w:space="0"/>
              <w:left w:val="single" w:color="auto" w:sz="4" w:space="0"/>
              <w:bottom w:val="single" w:color="auto" w:sz="4" w:space="0"/>
              <w:right w:val="single" w:color="auto" w:sz="4" w:space="0"/>
            </w:tcBorders>
            <w:shd w:val="clear" w:color="auto" w:fill="auto"/>
            <w:vAlign w:val="center"/>
          </w:tcPr>
          <w:p w14:paraId="36F5A35F">
            <w:pPr>
              <w:widowControl/>
              <w:spacing w:line="240" w:lineRule="auto"/>
              <w:ind w:firstLine="0" w:firstLineChars="0"/>
              <w:jc w:val="center"/>
              <w:textAlignment w:val="center"/>
              <w:rPr>
                <w:rFonts w:eastAsia="宋体" w:cs="Times New Roman"/>
                <w:color w:val="000000"/>
                <w:kern w:val="0"/>
                <w:sz w:val="20"/>
                <w:szCs w:val="20"/>
              </w:rPr>
            </w:pPr>
            <w:r>
              <w:rPr>
                <w:rFonts w:eastAsia="宋体" w:cs="Times New Roman"/>
                <w:color w:val="000000"/>
                <w:kern w:val="0"/>
                <w:sz w:val="20"/>
                <w:szCs w:val="20"/>
              </w:rPr>
              <w:t>地质灾害防治</w:t>
            </w:r>
          </w:p>
        </w:tc>
        <w:tc>
          <w:tcPr>
            <w:tcW w:w="41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8894D81">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4.00</w:t>
            </w:r>
          </w:p>
        </w:tc>
        <w:tc>
          <w:tcPr>
            <w:tcW w:w="51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66F071D">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4.00</w:t>
            </w:r>
          </w:p>
        </w:tc>
        <w:tc>
          <w:tcPr>
            <w:tcW w:w="576" w:type="pct"/>
            <w:shd w:val="clear" w:color="auto" w:fill="auto"/>
            <w:noWrap/>
            <w:vAlign w:val="center"/>
          </w:tcPr>
          <w:p w14:paraId="3C708E52">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100.00</w:t>
            </w:r>
            <w:r>
              <w:rPr>
                <w:rFonts w:hint="eastAsia" w:eastAsia="等线" w:cs="Times New Roman"/>
                <w:color w:val="000000"/>
                <w:sz w:val="20"/>
                <w:szCs w:val="20"/>
              </w:rPr>
              <w:t>%</w:t>
            </w:r>
          </w:p>
        </w:tc>
      </w:tr>
      <w:tr w14:paraId="1FC3F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777" w:type="pct"/>
            <w:vMerge w:val="continue"/>
            <w:shd w:val="clear" w:color="auto" w:fill="auto"/>
            <w:vAlign w:val="center"/>
          </w:tcPr>
          <w:p w14:paraId="2C0D59EA">
            <w:pPr>
              <w:spacing w:line="240" w:lineRule="auto"/>
              <w:ind w:firstLine="0" w:firstLineChars="0"/>
              <w:jc w:val="center"/>
              <w:rPr>
                <w:rFonts w:eastAsia="宋体" w:cs="Times New Roman"/>
                <w:color w:val="000000"/>
                <w:sz w:val="20"/>
                <w:szCs w:val="20"/>
              </w:rPr>
            </w:pPr>
          </w:p>
        </w:tc>
        <w:tc>
          <w:tcPr>
            <w:tcW w:w="1014" w:type="pct"/>
            <w:vMerge w:val="continue"/>
            <w:tcBorders>
              <w:top w:val="single" w:color="auto" w:sz="4" w:space="0"/>
              <w:bottom w:val="single" w:color="auto" w:sz="4" w:space="0"/>
              <w:right w:val="single" w:color="auto" w:sz="4" w:space="0"/>
            </w:tcBorders>
            <w:shd w:val="clear" w:color="auto" w:fill="auto"/>
            <w:vAlign w:val="center"/>
          </w:tcPr>
          <w:p w14:paraId="173F2F24">
            <w:pPr>
              <w:widowControl/>
              <w:spacing w:line="240" w:lineRule="auto"/>
              <w:ind w:firstLine="0" w:firstLineChars="0"/>
              <w:jc w:val="center"/>
              <w:textAlignment w:val="center"/>
              <w:rPr>
                <w:rFonts w:eastAsia="宋体" w:cs="Times New Roman"/>
                <w:color w:val="000000"/>
                <w:kern w:val="0"/>
                <w:sz w:val="20"/>
                <w:szCs w:val="20"/>
              </w:rPr>
            </w:pPr>
          </w:p>
        </w:tc>
        <w:tc>
          <w:tcPr>
            <w:tcW w:w="1704" w:type="pct"/>
            <w:tcBorders>
              <w:top w:val="single" w:color="auto" w:sz="4" w:space="0"/>
              <w:left w:val="single" w:color="auto" w:sz="4" w:space="0"/>
              <w:bottom w:val="single" w:color="auto" w:sz="4" w:space="0"/>
              <w:right w:val="single" w:color="auto" w:sz="4" w:space="0"/>
            </w:tcBorders>
            <w:shd w:val="clear" w:color="auto" w:fill="auto"/>
            <w:vAlign w:val="center"/>
          </w:tcPr>
          <w:p w14:paraId="6E003657">
            <w:pPr>
              <w:widowControl/>
              <w:spacing w:line="240" w:lineRule="auto"/>
              <w:ind w:firstLine="0" w:firstLineChars="0"/>
              <w:jc w:val="center"/>
              <w:textAlignment w:val="center"/>
              <w:rPr>
                <w:rFonts w:eastAsia="宋体" w:cs="Times New Roman"/>
                <w:color w:val="000000"/>
                <w:kern w:val="0"/>
                <w:sz w:val="20"/>
                <w:szCs w:val="20"/>
              </w:rPr>
            </w:pPr>
            <w:r>
              <w:rPr>
                <w:rFonts w:eastAsia="宋体" w:cs="Times New Roman"/>
                <w:color w:val="000000"/>
                <w:kern w:val="0"/>
                <w:sz w:val="20"/>
                <w:szCs w:val="20"/>
              </w:rPr>
              <w:t>森林防火</w:t>
            </w:r>
          </w:p>
        </w:tc>
        <w:tc>
          <w:tcPr>
            <w:tcW w:w="41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931A5A3">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4.00</w:t>
            </w:r>
          </w:p>
        </w:tc>
        <w:tc>
          <w:tcPr>
            <w:tcW w:w="51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0AC25C6">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4.00</w:t>
            </w:r>
          </w:p>
        </w:tc>
        <w:tc>
          <w:tcPr>
            <w:tcW w:w="576" w:type="pct"/>
            <w:shd w:val="clear" w:color="auto" w:fill="auto"/>
            <w:noWrap/>
            <w:vAlign w:val="center"/>
          </w:tcPr>
          <w:p w14:paraId="0731E251">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100.00</w:t>
            </w:r>
            <w:r>
              <w:rPr>
                <w:rFonts w:hint="eastAsia" w:eastAsia="等线" w:cs="Times New Roman"/>
                <w:color w:val="000000"/>
                <w:sz w:val="20"/>
                <w:szCs w:val="20"/>
              </w:rPr>
              <w:t>%</w:t>
            </w:r>
          </w:p>
        </w:tc>
      </w:tr>
      <w:tr w14:paraId="47191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777" w:type="pct"/>
            <w:vMerge w:val="continue"/>
            <w:shd w:val="clear" w:color="auto" w:fill="auto"/>
            <w:vAlign w:val="center"/>
          </w:tcPr>
          <w:p w14:paraId="3C22D266">
            <w:pPr>
              <w:spacing w:line="240" w:lineRule="auto"/>
              <w:ind w:firstLine="0" w:firstLineChars="0"/>
              <w:jc w:val="center"/>
              <w:rPr>
                <w:rFonts w:eastAsia="宋体" w:cs="Times New Roman"/>
                <w:color w:val="000000"/>
                <w:sz w:val="20"/>
                <w:szCs w:val="20"/>
              </w:rPr>
            </w:pPr>
          </w:p>
        </w:tc>
        <w:tc>
          <w:tcPr>
            <w:tcW w:w="1014" w:type="pct"/>
            <w:vMerge w:val="restart"/>
            <w:tcBorders>
              <w:top w:val="single" w:color="auto" w:sz="4" w:space="0"/>
              <w:bottom w:val="single" w:color="auto" w:sz="4" w:space="0"/>
              <w:right w:val="single" w:color="auto" w:sz="4" w:space="0"/>
            </w:tcBorders>
            <w:shd w:val="clear" w:color="auto" w:fill="auto"/>
            <w:vAlign w:val="center"/>
          </w:tcPr>
          <w:p w14:paraId="1EEE6E18">
            <w:pPr>
              <w:widowControl/>
              <w:spacing w:line="240" w:lineRule="auto"/>
              <w:ind w:firstLine="0" w:firstLineChars="0"/>
              <w:jc w:val="center"/>
              <w:textAlignment w:val="center"/>
              <w:rPr>
                <w:rFonts w:eastAsia="宋体" w:cs="Times New Roman"/>
                <w:color w:val="000000"/>
                <w:kern w:val="0"/>
                <w:sz w:val="20"/>
                <w:szCs w:val="20"/>
              </w:rPr>
            </w:pPr>
            <w:r>
              <w:rPr>
                <w:rFonts w:eastAsia="宋体" w:cs="Times New Roman"/>
                <w:color w:val="000000"/>
                <w:kern w:val="0"/>
                <w:sz w:val="20"/>
                <w:szCs w:val="20"/>
              </w:rPr>
              <w:t>统筹用地</w:t>
            </w:r>
          </w:p>
        </w:tc>
        <w:tc>
          <w:tcPr>
            <w:tcW w:w="1704" w:type="pct"/>
            <w:tcBorders>
              <w:top w:val="single" w:color="auto" w:sz="4" w:space="0"/>
              <w:left w:val="single" w:color="auto" w:sz="4" w:space="0"/>
              <w:bottom w:val="single" w:color="auto" w:sz="4" w:space="0"/>
              <w:right w:val="single" w:color="auto" w:sz="4" w:space="0"/>
            </w:tcBorders>
            <w:shd w:val="clear" w:color="auto" w:fill="auto"/>
            <w:vAlign w:val="center"/>
          </w:tcPr>
          <w:p w14:paraId="3C025CCB">
            <w:pPr>
              <w:widowControl/>
              <w:spacing w:line="240" w:lineRule="auto"/>
              <w:ind w:firstLine="0" w:firstLineChars="0"/>
              <w:jc w:val="center"/>
              <w:textAlignment w:val="center"/>
              <w:rPr>
                <w:rFonts w:eastAsia="宋体" w:cs="Times New Roman"/>
                <w:color w:val="000000"/>
                <w:kern w:val="0"/>
                <w:sz w:val="20"/>
                <w:szCs w:val="20"/>
              </w:rPr>
            </w:pPr>
            <w:r>
              <w:rPr>
                <w:rFonts w:eastAsia="宋体" w:cs="Times New Roman"/>
                <w:color w:val="000000"/>
                <w:kern w:val="0"/>
                <w:sz w:val="20"/>
                <w:szCs w:val="20"/>
              </w:rPr>
              <w:t>统筹安排各类各业用地</w:t>
            </w:r>
          </w:p>
        </w:tc>
        <w:tc>
          <w:tcPr>
            <w:tcW w:w="41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1AEBBED">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4.00</w:t>
            </w:r>
          </w:p>
        </w:tc>
        <w:tc>
          <w:tcPr>
            <w:tcW w:w="51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76C4751">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4.00</w:t>
            </w:r>
          </w:p>
        </w:tc>
        <w:tc>
          <w:tcPr>
            <w:tcW w:w="576" w:type="pct"/>
            <w:shd w:val="clear" w:color="auto" w:fill="auto"/>
            <w:noWrap/>
            <w:vAlign w:val="center"/>
          </w:tcPr>
          <w:p w14:paraId="3FF8CE8F">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100.00</w:t>
            </w:r>
            <w:r>
              <w:rPr>
                <w:rFonts w:hint="eastAsia" w:eastAsia="等线" w:cs="Times New Roman"/>
                <w:color w:val="000000"/>
                <w:sz w:val="20"/>
                <w:szCs w:val="20"/>
              </w:rPr>
              <w:t>%</w:t>
            </w:r>
          </w:p>
        </w:tc>
      </w:tr>
      <w:tr w14:paraId="6C9C5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777" w:type="pct"/>
            <w:vMerge w:val="continue"/>
            <w:shd w:val="clear" w:color="auto" w:fill="auto"/>
            <w:vAlign w:val="center"/>
          </w:tcPr>
          <w:p w14:paraId="29DABD15">
            <w:pPr>
              <w:spacing w:line="240" w:lineRule="auto"/>
              <w:ind w:firstLine="0" w:firstLineChars="0"/>
              <w:jc w:val="center"/>
              <w:rPr>
                <w:rFonts w:eastAsia="宋体" w:cs="Times New Roman"/>
                <w:color w:val="000000"/>
                <w:sz w:val="20"/>
                <w:szCs w:val="20"/>
              </w:rPr>
            </w:pPr>
          </w:p>
        </w:tc>
        <w:tc>
          <w:tcPr>
            <w:tcW w:w="1014" w:type="pct"/>
            <w:vMerge w:val="continue"/>
            <w:tcBorders>
              <w:top w:val="single" w:color="auto" w:sz="4" w:space="0"/>
              <w:bottom w:val="single" w:color="auto" w:sz="4" w:space="0"/>
              <w:right w:val="single" w:color="auto" w:sz="4" w:space="0"/>
            </w:tcBorders>
            <w:shd w:val="clear" w:color="auto" w:fill="auto"/>
            <w:vAlign w:val="center"/>
          </w:tcPr>
          <w:p w14:paraId="479495F6">
            <w:pPr>
              <w:widowControl/>
              <w:spacing w:line="240" w:lineRule="auto"/>
              <w:ind w:firstLine="0" w:firstLineChars="0"/>
              <w:jc w:val="center"/>
              <w:textAlignment w:val="center"/>
              <w:rPr>
                <w:rFonts w:eastAsia="宋体" w:cs="Times New Roman"/>
                <w:color w:val="000000"/>
                <w:kern w:val="0"/>
                <w:sz w:val="20"/>
                <w:szCs w:val="20"/>
              </w:rPr>
            </w:pPr>
          </w:p>
        </w:tc>
        <w:tc>
          <w:tcPr>
            <w:tcW w:w="1704" w:type="pct"/>
            <w:tcBorders>
              <w:top w:val="single" w:color="auto" w:sz="4" w:space="0"/>
              <w:left w:val="single" w:color="auto" w:sz="4" w:space="0"/>
              <w:bottom w:val="single" w:color="auto" w:sz="4" w:space="0"/>
              <w:right w:val="single" w:color="auto" w:sz="4" w:space="0"/>
            </w:tcBorders>
            <w:shd w:val="clear" w:color="auto" w:fill="auto"/>
            <w:vAlign w:val="center"/>
          </w:tcPr>
          <w:p w14:paraId="2A49D536">
            <w:pPr>
              <w:widowControl/>
              <w:spacing w:line="240" w:lineRule="auto"/>
              <w:ind w:firstLine="0" w:firstLineChars="0"/>
              <w:jc w:val="center"/>
              <w:textAlignment w:val="center"/>
              <w:rPr>
                <w:rFonts w:eastAsia="宋体" w:cs="Times New Roman"/>
                <w:color w:val="000000"/>
                <w:kern w:val="0"/>
                <w:sz w:val="20"/>
                <w:szCs w:val="20"/>
              </w:rPr>
            </w:pPr>
            <w:r>
              <w:rPr>
                <w:rFonts w:eastAsia="宋体" w:cs="Times New Roman"/>
                <w:color w:val="000000"/>
                <w:kern w:val="0"/>
                <w:sz w:val="20"/>
                <w:szCs w:val="20"/>
              </w:rPr>
              <w:t>重点项目用地保障工作完成率</w:t>
            </w:r>
          </w:p>
        </w:tc>
        <w:tc>
          <w:tcPr>
            <w:tcW w:w="41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D854019">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3.00</w:t>
            </w:r>
          </w:p>
        </w:tc>
        <w:tc>
          <w:tcPr>
            <w:tcW w:w="51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BF8E3DD">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3.00</w:t>
            </w:r>
          </w:p>
        </w:tc>
        <w:tc>
          <w:tcPr>
            <w:tcW w:w="576" w:type="pct"/>
            <w:shd w:val="clear" w:color="auto" w:fill="auto"/>
            <w:noWrap/>
            <w:vAlign w:val="center"/>
          </w:tcPr>
          <w:p w14:paraId="064A549A">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100.00</w:t>
            </w:r>
            <w:r>
              <w:rPr>
                <w:rFonts w:hint="eastAsia" w:eastAsia="等线" w:cs="Times New Roman"/>
                <w:color w:val="000000"/>
                <w:sz w:val="20"/>
                <w:szCs w:val="20"/>
              </w:rPr>
              <w:t>%</w:t>
            </w:r>
          </w:p>
        </w:tc>
      </w:tr>
      <w:tr w14:paraId="38F48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777" w:type="pct"/>
            <w:vMerge w:val="continue"/>
            <w:shd w:val="clear" w:color="auto" w:fill="auto"/>
            <w:vAlign w:val="center"/>
          </w:tcPr>
          <w:p w14:paraId="45D1FFB4">
            <w:pPr>
              <w:spacing w:line="240" w:lineRule="auto"/>
              <w:ind w:firstLine="0" w:firstLineChars="0"/>
              <w:jc w:val="center"/>
              <w:rPr>
                <w:rFonts w:eastAsia="宋体" w:cs="Times New Roman"/>
                <w:color w:val="000000"/>
                <w:sz w:val="20"/>
                <w:szCs w:val="20"/>
              </w:rPr>
            </w:pPr>
          </w:p>
        </w:tc>
        <w:tc>
          <w:tcPr>
            <w:tcW w:w="1014" w:type="pct"/>
            <w:vMerge w:val="continue"/>
            <w:tcBorders>
              <w:top w:val="single" w:color="auto" w:sz="4" w:space="0"/>
              <w:bottom w:val="single" w:color="auto" w:sz="4" w:space="0"/>
              <w:right w:val="single" w:color="auto" w:sz="4" w:space="0"/>
            </w:tcBorders>
            <w:shd w:val="clear" w:color="auto" w:fill="auto"/>
            <w:vAlign w:val="center"/>
          </w:tcPr>
          <w:p w14:paraId="244B7F86">
            <w:pPr>
              <w:widowControl/>
              <w:spacing w:line="240" w:lineRule="auto"/>
              <w:ind w:firstLine="0" w:firstLineChars="0"/>
              <w:jc w:val="center"/>
              <w:textAlignment w:val="center"/>
              <w:rPr>
                <w:rFonts w:eastAsia="宋体" w:cs="Times New Roman"/>
                <w:color w:val="000000"/>
                <w:kern w:val="0"/>
                <w:sz w:val="20"/>
                <w:szCs w:val="20"/>
              </w:rPr>
            </w:pPr>
          </w:p>
        </w:tc>
        <w:tc>
          <w:tcPr>
            <w:tcW w:w="1704" w:type="pct"/>
            <w:tcBorders>
              <w:top w:val="single" w:color="auto" w:sz="4" w:space="0"/>
              <w:left w:val="single" w:color="auto" w:sz="4" w:space="0"/>
              <w:bottom w:val="single" w:color="auto" w:sz="4" w:space="0"/>
              <w:right w:val="single" w:color="auto" w:sz="4" w:space="0"/>
            </w:tcBorders>
            <w:shd w:val="clear" w:color="auto" w:fill="auto"/>
            <w:vAlign w:val="center"/>
          </w:tcPr>
          <w:p w14:paraId="7F67F711">
            <w:pPr>
              <w:widowControl/>
              <w:spacing w:line="240" w:lineRule="auto"/>
              <w:ind w:firstLine="0" w:firstLineChars="0"/>
              <w:jc w:val="center"/>
              <w:textAlignment w:val="center"/>
              <w:rPr>
                <w:rFonts w:eastAsia="宋体" w:cs="Times New Roman"/>
                <w:color w:val="000000"/>
                <w:kern w:val="0"/>
                <w:sz w:val="20"/>
                <w:szCs w:val="20"/>
              </w:rPr>
            </w:pPr>
            <w:r>
              <w:rPr>
                <w:rFonts w:eastAsia="宋体" w:cs="Times New Roman"/>
                <w:color w:val="000000"/>
                <w:kern w:val="0"/>
                <w:sz w:val="20"/>
                <w:szCs w:val="20"/>
              </w:rPr>
              <w:t>推进大熊猫项目建设</w:t>
            </w:r>
          </w:p>
        </w:tc>
        <w:tc>
          <w:tcPr>
            <w:tcW w:w="41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27E3AA4">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3.00</w:t>
            </w:r>
          </w:p>
        </w:tc>
        <w:tc>
          <w:tcPr>
            <w:tcW w:w="51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F9C7BF8">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3.00</w:t>
            </w:r>
          </w:p>
        </w:tc>
        <w:tc>
          <w:tcPr>
            <w:tcW w:w="576" w:type="pct"/>
            <w:shd w:val="clear" w:color="auto" w:fill="auto"/>
            <w:noWrap/>
            <w:vAlign w:val="center"/>
          </w:tcPr>
          <w:p w14:paraId="414CC37E">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100.00</w:t>
            </w:r>
            <w:r>
              <w:rPr>
                <w:rFonts w:hint="eastAsia" w:eastAsia="等线" w:cs="Times New Roman"/>
                <w:color w:val="000000"/>
                <w:sz w:val="20"/>
                <w:szCs w:val="20"/>
              </w:rPr>
              <w:t>%</w:t>
            </w:r>
          </w:p>
        </w:tc>
      </w:tr>
      <w:tr w14:paraId="64901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777" w:type="pct"/>
            <w:vMerge w:val="continue"/>
            <w:shd w:val="clear" w:color="auto" w:fill="auto"/>
            <w:vAlign w:val="center"/>
          </w:tcPr>
          <w:p w14:paraId="1941E75E">
            <w:pPr>
              <w:spacing w:line="240" w:lineRule="auto"/>
              <w:ind w:firstLine="0" w:firstLineChars="0"/>
              <w:jc w:val="center"/>
              <w:rPr>
                <w:rFonts w:eastAsia="宋体" w:cs="Times New Roman"/>
                <w:color w:val="000000"/>
                <w:sz w:val="20"/>
                <w:szCs w:val="20"/>
              </w:rPr>
            </w:pPr>
          </w:p>
        </w:tc>
        <w:tc>
          <w:tcPr>
            <w:tcW w:w="1014" w:type="pct"/>
            <w:vMerge w:val="restart"/>
            <w:tcBorders>
              <w:top w:val="single" w:color="auto" w:sz="4" w:space="0"/>
              <w:bottom w:val="single" w:color="auto" w:sz="4" w:space="0"/>
              <w:right w:val="single" w:color="auto" w:sz="4" w:space="0"/>
            </w:tcBorders>
            <w:shd w:val="clear" w:color="auto" w:fill="auto"/>
            <w:vAlign w:val="center"/>
          </w:tcPr>
          <w:p w14:paraId="1055AF15">
            <w:pPr>
              <w:widowControl/>
              <w:spacing w:line="240" w:lineRule="auto"/>
              <w:ind w:firstLine="0" w:firstLineChars="0"/>
              <w:jc w:val="center"/>
              <w:textAlignment w:val="center"/>
              <w:rPr>
                <w:rFonts w:eastAsia="宋体" w:cs="Times New Roman"/>
                <w:color w:val="000000"/>
                <w:kern w:val="0"/>
                <w:sz w:val="20"/>
                <w:szCs w:val="20"/>
              </w:rPr>
            </w:pPr>
            <w:r>
              <w:rPr>
                <w:rFonts w:eastAsia="宋体" w:cs="Times New Roman"/>
                <w:color w:val="000000"/>
                <w:kern w:val="0"/>
                <w:sz w:val="20"/>
                <w:szCs w:val="20"/>
              </w:rPr>
              <w:t>绿色发展</w:t>
            </w:r>
          </w:p>
        </w:tc>
        <w:tc>
          <w:tcPr>
            <w:tcW w:w="1704" w:type="pct"/>
            <w:tcBorders>
              <w:top w:val="single" w:color="auto" w:sz="4" w:space="0"/>
              <w:left w:val="single" w:color="auto" w:sz="4" w:space="0"/>
              <w:bottom w:val="single" w:color="auto" w:sz="4" w:space="0"/>
              <w:right w:val="single" w:color="auto" w:sz="4" w:space="0"/>
            </w:tcBorders>
            <w:shd w:val="clear" w:color="auto" w:fill="auto"/>
            <w:vAlign w:val="center"/>
          </w:tcPr>
          <w:p w14:paraId="422A795E">
            <w:pPr>
              <w:widowControl/>
              <w:spacing w:line="240" w:lineRule="auto"/>
              <w:ind w:firstLine="0" w:firstLineChars="0"/>
              <w:jc w:val="center"/>
              <w:textAlignment w:val="center"/>
              <w:rPr>
                <w:rFonts w:eastAsia="宋体" w:cs="Times New Roman"/>
                <w:color w:val="000000"/>
                <w:kern w:val="0"/>
                <w:sz w:val="20"/>
                <w:szCs w:val="20"/>
              </w:rPr>
            </w:pPr>
            <w:r>
              <w:rPr>
                <w:rFonts w:eastAsia="宋体" w:cs="Times New Roman"/>
                <w:color w:val="000000"/>
                <w:kern w:val="0"/>
                <w:sz w:val="20"/>
                <w:szCs w:val="20"/>
              </w:rPr>
              <w:t>永久基本农田储备划定工作完成率</w:t>
            </w:r>
          </w:p>
        </w:tc>
        <w:tc>
          <w:tcPr>
            <w:tcW w:w="41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27EE296">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4.00</w:t>
            </w:r>
          </w:p>
        </w:tc>
        <w:tc>
          <w:tcPr>
            <w:tcW w:w="51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8C793B9">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4.00</w:t>
            </w:r>
          </w:p>
        </w:tc>
        <w:tc>
          <w:tcPr>
            <w:tcW w:w="576" w:type="pct"/>
            <w:shd w:val="clear" w:color="auto" w:fill="auto"/>
            <w:noWrap/>
            <w:vAlign w:val="center"/>
          </w:tcPr>
          <w:p w14:paraId="6B7AE42A">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100.00</w:t>
            </w:r>
            <w:r>
              <w:rPr>
                <w:rFonts w:hint="eastAsia" w:eastAsia="等线" w:cs="Times New Roman"/>
                <w:color w:val="000000"/>
                <w:sz w:val="20"/>
                <w:szCs w:val="20"/>
              </w:rPr>
              <w:t>%</w:t>
            </w:r>
          </w:p>
        </w:tc>
      </w:tr>
      <w:tr w14:paraId="57BB8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777" w:type="pct"/>
            <w:vMerge w:val="continue"/>
            <w:shd w:val="clear" w:color="auto" w:fill="auto"/>
            <w:vAlign w:val="center"/>
          </w:tcPr>
          <w:p w14:paraId="06A0F460">
            <w:pPr>
              <w:spacing w:line="240" w:lineRule="auto"/>
              <w:ind w:firstLine="0" w:firstLineChars="0"/>
              <w:jc w:val="center"/>
              <w:rPr>
                <w:rFonts w:eastAsia="宋体" w:cs="Times New Roman"/>
                <w:color w:val="000000"/>
                <w:sz w:val="20"/>
                <w:szCs w:val="20"/>
              </w:rPr>
            </w:pPr>
          </w:p>
        </w:tc>
        <w:tc>
          <w:tcPr>
            <w:tcW w:w="1014" w:type="pct"/>
            <w:vMerge w:val="continue"/>
            <w:tcBorders>
              <w:top w:val="single" w:color="auto" w:sz="4" w:space="0"/>
              <w:bottom w:val="single" w:color="auto" w:sz="4" w:space="0"/>
              <w:right w:val="single" w:color="auto" w:sz="4" w:space="0"/>
            </w:tcBorders>
            <w:shd w:val="clear" w:color="auto" w:fill="auto"/>
            <w:vAlign w:val="center"/>
          </w:tcPr>
          <w:p w14:paraId="67CBC25E">
            <w:pPr>
              <w:widowControl/>
              <w:spacing w:line="240" w:lineRule="auto"/>
              <w:ind w:firstLine="0" w:firstLineChars="0"/>
              <w:jc w:val="center"/>
              <w:textAlignment w:val="center"/>
              <w:rPr>
                <w:rFonts w:eastAsia="宋体" w:cs="Times New Roman"/>
                <w:color w:val="000000"/>
                <w:kern w:val="0"/>
                <w:sz w:val="20"/>
                <w:szCs w:val="20"/>
              </w:rPr>
            </w:pPr>
          </w:p>
        </w:tc>
        <w:tc>
          <w:tcPr>
            <w:tcW w:w="1704" w:type="pct"/>
            <w:tcBorders>
              <w:top w:val="single" w:color="auto" w:sz="4" w:space="0"/>
              <w:left w:val="single" w:color="auto" w:sz="4" w:space="0"/>
              <w:bottom w:val="single" w:color="auto" w:sz="4" w:space="0"/>
              <w:right w:val="single" w:color="auto" w:sz="4" w:space="0"/>
            </w:tcBorders>
            <w:shd w:val="clear" w:color="auto" w:fill="auto"/>
            <w:vAlign w:val="center"/>
          </w:tcPr>
          <w:p w14:paraId="0EEC7288">
            <w:pPr>
              <w:widowControl/>
              <w:spacing w:line="240" w:lineRule="auto"/>
              <w:ind w:firstLine="0" w:firstLineChars="0"/>
              <w:jc w:val="center"/>
              <w:textAlignment w:val="center"/>
              <w:rPr>
                <w:rFonts w:eastAsia="宋体" w:cs="Times New Roman"/>
                <w:color w:val="000000"/>
                <w:kern w:val="0"/>
                <w:sz w:val="20"/>
                <w:szCs w:val="20"/>
              </w:rPr>
            </w:pPr>
            <w:r>
              <w:rPr>
                <w:rFonts w:eastAsia="宋体" w:cs="Times New Roman"/>
                <w:color w:val="000000"/>
                <w:kern w:val="0"/>
                <w:sz w:val="20"/>
                <w:szCs w:val="20"/>
              </w:rPr>
              <w:t>永久基本农田划定成果核实整改工作完成率</w:t>
            </w:r>
          </w:p>
        </w:tc>
        <w:tc>
          <w:tcPr>
            <w:tcW w:w="41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FF291D7">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4.00</w:t>
            </w:r>
          </w:p>
        </w:tc>
        <w:tc>
          <w:tcPr>
            <w:tcW w:w="51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7D1B50E">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0.00</w:t>
            </w:r>
          </w:p>
        </w:tc>
        <w:tc>
          <w:tcPr>
            <w:tcW w:w="576" w:type="pct"/>
            <w:shd w:val="clear" w:color="auto" w:fill="auto"/>
            <w:noWrap/>
            <w:vAlign w:val="center"/>
          </w:tcPr>
          <w:p w14:paraId="031BACA9">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0.00</w:t>
            </w:r>
            <w:r>
              <w:rPr>
                <w:rFonts w:hint="eastAsia" w:eastAsia="等线" w:cs="Times New Roman"/>
                <w:color w:val="000000"/>
                <w:sz w:val="20"/>
                <w:szCs w:val="20"/>
              </w:rPr>
              <w:t>%</w:t>
            </w:r>
          </w:p>
        </w:tc>
      </w:tr>
      <w:tr w14:paraId="1A1B0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777" w:type="pct"/>
            <w:vMerge w:val="continue"/>
            <w:shd w:val="clear" w:color="auto" w:fill="auto"/>
            <w:vAlign w:val="center"/>
          </w:tcPr>
          <w:p w14:paraId="508FAB90">
            <w:pPr>
              <w:spacing w:line="240" w:lineRule="auto"/>
              <w:ind w:firstLine="0" w:firstLineChars="0"/>
              <w:jc w:val="center"/>
              <w:rPr>
                <w:rFonts w:eastAsia="宋体" w:cs="Times New Roman"/>
                <w:color w:val="000000"/>
                <w:sz w:val="20"/>
                <w:szCs w:val="20"/>
              </w:rPr>
            </w:pPr>
          </w:p>
        </w:tc>
        <w:tc>
          <w:tcPr>
            <w:tcW w:w="1014" w:type="pct"/>
            <w:vMerge w:val="continue"/>
            <w:tcBorders>
              <w:top w:val="single" w:color="auto" w:sz="4" w:space="0"/>
              <w:bottom w:val="single" w:color="auto" w:sz="4" w:space="0"/>
              <w:right w:val="single" w:color="auto" w:sz="4" w:space="0"/>
            </w:tcBorders>
            <w:shd w:val="clear" w:color="auto" w:fill="auto"/>
            <w:vAlign w:val="center"/>
          </w:tcPr>
          <w:p w14:paraId="32B59A91">
            <w:pPr>
              <w:widowControl/>
              <w:spacing w:line="240" w:lineRule="auto"/>
              <w:ind w:firstLine="0" w:firstLineChars="0"/>
              <w:jc w:val="center"/>
              <w:textAlignment w:val="center"/>
              <w:rPr>
                <w:rFonts w:eastAsia="宋体" w:cs="Times New Roman"/>
                <w:color w:val="000000"/>
                <w:kern w:val="0"/>
                <w:sz w:val="20"/>
                <w:szCs w:val="20"/>
              </w:rPr>
            </w:pPr>
          </w:p>
        </w:tc>
        <w:tc>
          <w:tcPr>
            <w:tcW w:w="1704" w:type="pct"/>
            <w:tcBorders>
              <w:top w:val="single" w:color="auto" w:sz="4" w:space="0"/>
              <w:left w:val="single" w:color="auto" w:sz="4" w:space="0"/>
              <w:bottom w:val="single" w:color="auto" w:sz="4" w:space="0"/>
              <w:right w:val="single" w:color="auto" w:sz="4" w:space="0"/>
            </w:tcBorders>
            <w:shd w:val="clear" w:color="auto" w:fill="auto"/>
            <w:vAlign w:val="center"/>
          </w:tcPr>
          <w:p w14:paraId="7BF76BB0">
            <w:pPr>
              <w:widowControl/>
              <w:spacing w:line="240" w:lineRule="auto"/>
              <w:ind w:firstLine="0" w:firstLineChars="0"/>
              <w:jc w:val="center"/>
              <w:textAlignment w:val="center"/>
              <w:rPr>
                <w:rFonts w:eastAsia="宋体" w:cs="Times New Roman"/>
                <w:color w:val="000000"/>
                <w:kern w:val="0"/>
                <w:sz w:val="20"/>
                <w:szCs w:val="20"/>
              </w:rPr>
            </w:pPr>
            <w:r>
              <w:rPr>
                <w:rFonts w:eastAsia="宋体" w:cs="Times New Roman"/>
                <w:color w:val="000000"/>
                <w:kern w:val="0"/>
                <w:sz w:val="20"/>
                <w:szCs w:val="20"/>
              </w:rPr>
              <w:t>开展大规模绿化行动工作完成率</w:t>
            </w:r>
          </w:p>
        </w:tc>
        <w:tc>
          <w:tcPr>
            <w:tcW w:w="41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DEB35EC">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4.00</w:t>
            </w:r>
          </w:p>
        </w:tc>
        <w:tc>
          <w:tcPr>
            <w:tcW w:w="51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38089A9">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3.00</w:t>
            </w:r>
          </w:p>
        </w:tc>
        <w:tc>
          <w:tcPr>
            <w:tcW w:w="576" w:type="pct"/>
            <w:shd w:val="clear" w:color="auto" w:fill="auto"/>
            <w:noWrap/>
            <w:vAlign w:val="center"/>
          </w:tcPr>
          <w:p w14:paraId="152DD397">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75.00</w:t>
            </w:r>
            <w:r>
              <w:rPr>
                <w:rFonts w:hint="eastAsia" w:eastAsia="等线" w:cs="Times New Roman"/>
                <w:color w:val="000000"/>
                <w:sz w:val="20"/>
                <w:szCs w:val="20"/>
              </w:rPr>
              <w:t>%</w:t>
            </w:r>
          </w:p>
        </w:tc>
      </w:tr>
      <w:tr w14:paraId="12C39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777" w:type="pct"/>
            <w:vMerge w:val="continue"/>
            <w:shd w:val="clear" w:color="auto" w:fill="auto"/>
            <w:vAlign w:val="center"/>
          </w:tcPr>
          <w:p w14:paraId="1B02DCB4">
            <w:pPr>
              <w:spacing w:line="240" w:lineRule="auto"/>
              <w:ind w:firstLine="0" w:firstLineChars="0"/>
              <w:jc w:val="center"/>
              <w:rPr>
                <w:rFonts w:eastAsia="宋体" w:cs="Times New Roman"/>
                <w:color w:val="000000"/>
                <w:sz w:val="20"/>
                <w:szCs w:val="20"/>
              </w:rPr>
            </w:pPr>
          </w:p>
        </w:tc>
        <w:tc>
          <w:tcPr>
            <w:tcW w:w="1014" w:type="pct"/>
            <w:vMerge w:val="continue"/>
            <w:tcBorders>
              <w:top w:val="single" w:color="auto" w:sz="4" w:space="0"/>
              <w:bottom w:val="single" w:color="auto" w:sz="4" w:space="0"/>
              <w:right w:val="single" w:color="auto" w:sz="4" w:space="0"/>
            </w:tcBorders>
            <w:shd w:val="clear" w:color="auto" w:fill="auto"/>
            <w:vAlign w:val="center"/>
          </w:tcPr>
          <w:p w14:paraId="57D9B3D7">
            <w:pPr>
              <w:widowControl/>
              <w:spacing w:line="240" w:lineRule="auto"/>
              <w:ind w:firstLine="0" w:firstLineChars="0"/>
              <w:jc w:val="center"/>
              <w:textAlignment w:val="center"/>
              <w:rPr>
                <w:rFonts w:eastAsia="宋体" w:cs="Times New Roman"/>
                <w:color w:val="000000"/>
                <w:kern w:val="0"/>
                <w:sz w:val="20"/>
                <w:szCs w:val="20"/>
              </w:rPr>
            </w:pPr>
          </w:p>
        </w:tc>
        <w:tc>
          <w:tcPr>
            <w:tcW w:w="1704" w:type="pct"/>
            <w:tcBorders>
              <w:top w:val="single" w:color="auto" w:sz="4" w:space="0"/>
              <w:left w:val="single" w:color="auto" w:sz="4" w:space="0"/>
              <w:bottom w:val="single" w:color="auto" w:sz="4" w:space="0"/>
              <w:right w:val="single" w:color="auto" w:sz="4" w:space="0"/>
            </w:tcBorders>
            <w:shd w:val="clear" w:color="auto" w:fill="auto"/>
            <w:vAlign w:val="center"/>
          </w:tcPr>
          <w:p w14:paraId="55D51FC3">
            <w:pPr>
              <w:widowControl/>
              <w:spacing w:line="240" w:lineRule="auto"/>
              <w:ind w:firstLine="0" w:firstLineChars="0"/>
              <w:jc w:val="center"/>
              <w:textAlignment w:val="center"/>
              <w:rPr>
                <w:rFonts w:eastAsia="宋体" w:cs="Times New Roman"/>
                <w:color w:val="000000"/>
                <w:kern w:val="0"/>
                <w:sz w:val="20"/>
                <w:szCs w:val="20"/>
              </w:rPr>
            </w:pPr>
            <w:r>
              <w:rPr>
                <w:rFonts w:eastAsia="宋体" w:cs="Times New Roman"/>
                <w:color w:val="000000"/>
                <w:kern w:val="0"/>
                <w:sz w:val="20"/>
                <w:szCs w:val="20"/>
              </w:rPr>
              <w:t>提升野生动物收容救助率</w:t>
            </w:r>
          </w:p>
        </w:tc>
        <w:tc>
          <w:tcPr>
            <w:tcW w:w="41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C3061D1">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4.00</w:t>
            </w:r>
          </w:p>
        </w:tc>
        <w:tc>
          <w:tcPr>
            <w:tcW w:w="51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72570EF">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4.00</w:t>
            </w:r>
          </w:p>
        </w:tc>
        <w:tc>
          <w:tcPr>
            <w:tcW w:w="576" w:type="pct"/>
            <w:shd w:val="clear" w:color="auto" w:fill="auto"/>
            <w:noWrap/>
            <w:vAlign w:val="center"/>
          </w:tcPr>
          <w:p w14:paraId="126A4AC8">
            <w:pPr>
              <w:widowControl/>
              <w:spacing w:line="240" w:lineRule="auto"/>
              <w:ind w:firstLine="0" w:firstLineChars="0"/>
              <w:jc w:val="center"/>
              <w:textAlignment w:val="center"/>
              <w:rPr>
                <w:rFonts w:eastAsia="宋体" w:cs="Times New Roman"/>
                <w:color w:val="000000"/>
                <w:kern w:val="0"/>
                <w:sz w:val="20"/>
                <w:szCs w:val="20"/>
              </w:rPr>
            </w:pPr>
            <w:r>
              <w:rPr>
                <w:rFonts w:hint="eastAsia" w:eastAsia="宋体" w:cs="Times New Roman"/>
                <w:color w:val="000000"/>
                <w:kern w:val="0"/>
                <w:sz w:val="20"/>
                <w:szCs w:val="20"/>
              </w:rPr>
              <w:t>1</w:t>
            </w:r>
            <w:r>
              <w:rPr>
                <w:rFonts w:eastAsia="宋体" w:cs="Times New Roman"/>
                <w:color w:val="000000"/>
                <w:kern w:val="0"/>
                <w:sz w:val="20"/>
                <w:szCs w:val="20"/>
              </w:rPr>
              <w:t>00.00</w:t>
            </w:r>
            <w:r>
              <w:rPr>
                <w:rFonts w:hint="eastAsia" w:eastAsia="宋体" w:cs="Times New Roman"/>
                <w:color w:val="000000"/>
                <w:kern w:val="0"/>
                <w:sz w:val="20"/>
                <w:szCs w:val="20"/>
              </w:rPr>
              <w:t>%</w:t>
            </w:r>
          </w:p>
        </w:tc>
      </w:tr>
      <w:tr w14:paraId="2D98E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777" w:type="pct"/>
            <w:vMerge w:val="continue"/>
            <w:shd w:val="clear" w:color="auto" w:fill="auto"/>
            <w:vAlign w:val="center"/>
          </w:tcPr>
          <w:p w14:paraId="74CB8D87">
            <w:pPr>
              <w:spacing w:line="240" w:lineRule="auto"/>
              <w:ind w:firstLine="0" w:firstLineChars="0"/>
              <w:jc w:val="center"/>
              <w:rPr>
                <w:rFonts w:eastAsia="宋体" w:cs="Times New Roman"/>
                <w:color w:val="000000"/>
                <w:sz w:val="20"/>
                <w:szCs w:val="20"/>
              </w:rPr>
            </w:pPr>
          </w:p>
        </w:tc>
        <w:tc>
          <w:tcPr>
            <w:tcW w:w="1014" w:type="pct"/>
            <w:vMerge w:val="restart"/>
            <w:tcBorders>
              <w:top w:val="single" w:color="auto" w:sz="4" w:space="0"/>
              <w:bottom w:val="single" w:color="auto" w:sz="4" w:space="0"/>
              <w:right w:val="single" w:color="auto" w:sz="4" w:space="0"/>
            </w:tcBorders>
            <w:shd w:val="clear" w:color="auto" w:fill="auto"/>
            <w:vAlign w:val="center"/>
          </w:tcPr>
          <w:p w14:paraId="400165EF">
            <w:pPr>
              <w:widowControl/>
              <w:spacing w:line="240" w:lineRule="auto"/>
              <w:ind w:firstLine="0" w:firstLineChars="0"/>
              <w:jc w:val="center"/>
              <w:textAlignment w:val="center"/>
              <w:rPr>
                <w:rFonts w:eastAsia="宋体" w:cs="Times New Roman"/>
                <w:color w:val="000000"/>
                <w:kern w:val="0"/>
                <w:sz w:val="20"/>
                <w:szCs w:val="20"/>
              </w:rPr>
            </w:pPr>
            <w:r>
              <w:rPr>
                <w:rFonts w:eastAsia="宋体" w:cs="Times New Roman"/>
                <w:color w:val="000000"/>
                <w:kern w:val="0"/>
                <w:sz w:val="20"/>
                <w:szCs w:val="20"/>
              </w:rPr>
              <w:t>卫片执法</w:t>
            </w:r>
          </w:p>
        </w:tc>
        <w:tc>
          <w:tcPr>
            <w:tcW w:w="1704" w:type="pct"/>
            <w:tcBorders>
              <w:top w:val="single" w:color="auto" w:sz="4" w:space="0"/>
              <w:left w:val="single" w:color="auto" w:sz="4" w:space="0"/>
              <w:bottom w:val="single" w:color="auto" w:sz="4" w:space="0"/>
              <w:right w:val="single" w:color="auto" w:sz="4" w:space="0"/>
            </w:tcBorders>
            <w:shd w:val="clear" w:color="auto" w:fill="auto"/>
            <w:vAlign w:val="center"/>
          </w:tcPr>
          <w:p w14:paraId="10B05F43">
            <w:pPr>
              <w:widowControl/>
              <w:spacing w:line="240" w:lineRule="auto"/>
              <w:ind w:firstLine="0" w:firstLineChars="0"/>
              <w:jc w:val="center"/>
              <w:textAlignment w:val="center"/>
              <w:rPr>
                <w:rFonts w:eastAsia="宋体" w:cs="Times New Roman"/>
                <w:color w:val="000000"/>
                <w:kern w:val="0"/>
                <w:sz w:val="20"/>
                <w:szCs w:val="20"/>
              </w:rPr>
            </w:pPr>
            <w:r>
              <w:rPr>
                <w:rFonts w:eastAsia="宋体" w:cs="Times New Roman"/>
                <w:color w:val="000000"/>
                <w:kern w:val="0"/>
                <w:sz w:val="20"/>
                <w:szCs w:val="20"/>
              </w:rPr>
              <w:t>法律法规宣传</w:t>
            </w:r>
          </w:p>
        </w:tc>
        <w:tc>
          <w:tcPr>
            <w:tcW w:w="41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9435439">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4.00</w:t>
            </w:r>
          </w:p>
        </w:tc>
        <w:tc>
          <w:tcPr>
            <w:tcW w:w="51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702E21B">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4.00</w:t>
            </w:r>
          </w:p>
        </w:tc>
        <w:tc>
          <w:tcPr>
            <w:tcW w:w="576" w:type="pct"/>
            <w:shd w:val="clear" w:color="auto" w:fill="auto"/>
            <w:noWrap/>
            <w:vAlign w:val="center"/>
          </w:tcPr>
          <w:p w14:paraId="14A8DFA8">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100.00%</w:t>
            </w:r>
          </w:p>
        </w:tc>
      </w:tr>
      <w:tr w14:paraId="5BCA5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777" w:type="pct"/>
            <w:vMerge w:val="continue"/>
            <w:shd w:val="clear" w:color="auto" w:fill="auto"/>
            <w:vAlign w:val="center"/>
          </w:tcPr>
          <w:p w14:paraId="5EAA34E5">
            <w:pPr>
              <w:spacing w:line="240" w:lineRule="auto"/>
              <w:ind w:firstLine="0" w:firstLineChars="0"/>
              <w:jc w:val="center"/>
              <w:rPr>
                <w:rFonts w:eastAsia="宋体" w:cs="Times New Roman"/>
                <w:color w:val="000000"/>
                <w:sz w:val="20"/>
                <w:szCs w:val="20"/>
              </w:rPr>
            </w:pPr>
          </w:p>
        </w:tc>
        <w:tc>
          <w:tcPr>
            <w:tcW w:w="1014" w:type="pct"/>
            <w:vMerge w:val="continue"/>
            <w:tcBorders>
              <w:top w:val="single" w:color="auto" w:sz="4" w:space="0"/>
              <w:bottom w:val="single" w:color="auto" w:sz="4" w:space="0"/>
              <w:right w:val="single" w:color="auto" w:sz="4" w:space="0"/>
            </w:tcBorders>
            <w:shd w:val="clear" w:color="auto" w:fill="auto"/>
            <w:vAlign w:val="center"/>
          </w:tcPr>
          <w:p w14:paraId="42BC2343">
            <w:pPr>
              <w:widowControl/>
              <w:spacing w:line="240" w:lineRule="auto"/>
              <w:ind w:firstLine="0" w:firstLineChars="0"/>
              <w:jc w:val="center"/>
              <w:textAlignment w:val="center"/>
              <w:rPr>
                <w:rFonts w:eastAsia="宋体" w:cs="Times New Roman"/>
                <w:color w:val="000000"/>
                <w:kern w:val="0"/>
                <w:sz w:val="20"/>
                <w:szCs w:val="20"/>
              </w:rPr>
            </w:pPr>
          </w:p>
        </w:tc>
        <w:tc>
          <w:tcPr>
            <w:tcW w:w="1704" w:type="pct"/>
            <w:tcBorders>
              <w:top w:val="single" w:color="auto" w:sz="4" w:space="0"/>
              <w:left w:val="single" w:color="auto" w:sz="4" w:space="0"/>
              <w:bottom w:val="single" w:color="auto" w:sz="4" w:space="0"/>
              <w:right w:val="single" w:color="auto" w:sz="4" w:space="0"/>
            </w:tcBorders>
            <w:shd w:val="clear" w:color="auto" w:fill="auto"/>
            <w:vAlign w:val="center"/>
          </w:tcPr>
          <w:p w14:paraId="46A194A9">
            <w:pPr>
              <w:widowControl/>
              <w:spacing w:line="240" w:lineRule="auto"/>
              <w:ind w:firstLine="0" w:firstLineChars="0"/>
              <w:jc w:val="center"/>
              <w:textAlignment w:val="center"/>
              <w:rPr>
                <w:rFonts w:eastAsia="宋体" w:cs="Times New Roman"/>
                <w:color w:val="000000"/>
                <w:kern w:val="0"/>
                <w:sz w:val="20"/>
                <w:szCs w:val="20"/>
              </w:rPr>
            </w:pPr>
            <w:r>
              <w:rPr>
                <w:rFonts w:eastAsia="宋体" w:cs="Times New Roman"/>
                <w:color w:val="000000"/>
                <w:kern w:val="0"/>
                <w:sz w:val="20"/>
                <w:szCs w:val="20"/>
              </w:rPr>
              <w:t>动态巡察</w:t>
            </w:r>
          </w:p>
        </w:tc>
        <w:tc>
          <w:tcPr>
            <w:tcW w:w="41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FD0F0A2">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4.00</w:t>
            </w:r>
          </w:p>
        </w:tc>
        <w:tc>
          <w:tcPr>
            <w:tcW w:w="51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DAC5D81">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4.00</w:t>
            </w:r>
          </w:p>
        </w:tc>
        <w:tc>
          <w:tcPr>
            <w:tcW w:w="576" w:type="pct"/>
            <w:shd w:val="clear" w:color="auto" w:fill="auto"/>
            <w:noWrap/>
            <w:vAlign w:val="center"/>
          </w:tcPr>
          <w:p w14:paraId="688BF1DB">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100.00%</w:t>
            </w:r>
          </w:p>
        </w:tc>
      </w:tr>
      <w:tr w14:paraId="2E28C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777" w:type="pct"/>
            <w:vMerge w:val="continue"/>
            <w:shd w:val="clear" w:color="auto" w:fill="auto"/>
            <w:vAlign w:val="center"/>
          </w:tcPr>
          <w:p w14:paraId="7B71A9BA">
            <w:pPr>
              <w:spacing w:line="240" w:lineRule="auto"/>
              <w:ind w:firstLine="0" w:firstLineChars="0"/>
              <w:jc w:val="center"/>
              <w:rPr>
                <w:rFonts w:eastAsia="宋体" w:cs="Times New Roman"/>
                <w:color w:val="000000"/>
                <w:sz w:val="20"/>
                <w:szCs w:val="20"/>
              </w:rPr>
            </w:pPr>
          </w:p>
        </w:tc>
        <w:tc>
          <w:tcPr>
            <w:tcW w:w="1014" w:type="pct"/>
            <w:vMerge w:val="restart"/>
            <w:tcBorders>
              <w:top w:val="single" w:color="auto" w:sz="4" w:space="0"/>
              <w:bottom w:val="single" w:color="auto" w:sz="4" w:space="0"/>
              <w:right w:val="single" w:color="auto" w:sz="4" w:space="0"/>
            </w:tcBorders>
            <w:shd w:val="clear" w:color="auto" w:fill="auto"/>
            <w:vAlign w:val="center"/>
          </w:tcPr>
          <w:p w14:paraId="5289424D">
            <w:pPr>
              <w:widowControl/>
              <w:spacing w:line="240" w:lineRule="auto"/>
              <w:ind w:firstLine="0" w:firstLineChars="0"/>
              <w:jc w:val="center"/>
              <w:textAlignment w:val="center"/>
              <w:rPr>
                <w:rFonts w:eastAsia="宋体" w:cs="Times New Roman"/>
                <w:color w:val="000000"/>
                <w:kern w:val="0"/>
                <w:sz w:val="20"/>
                <w:szCs w:val="20"/>
              </w:rPr>
            </w:pPr>
            <w:r>
              <w:rPr>
                <w:rFonts w:eastAsia="宋体" w:cs="Times New Roman"/>
                <w:color w:val="000000"/>
                <w:kern w:val="0"/>
                <w:sz w:val="20"/>
                <w:szCs w:val="20"/>
              </w:rPr>
              <w:t>廉政建设与意识形态工作</w:t>
            </w:r>
          </w:p>
        </w:tc>
        <w:tc>
          <w:tcPr>
            <w:tcW w:w="1704" w:type="pct"/>
            <w:tcBorders>
              <w:top w:val="single" w:color="auto" w:sz="4" w:space="0"/>
              <w:left w:val="single" w:color="auto" w:sz="4" w:space="0"/>
              <w:bottom w:val="single" w:color="auto" w:sz="4" w:space="0"/>
              <w:right w:val="single" w:color="auto" w:sz="4" w:space="0"/>
            </w:tcBorders>
            <w:shd w:val="clear" w:color="auto" w:fill="auto"/>
            <w:vAlign w:val="center"/>
          </w:tcPr>
          <w:p w14:paraId="76C15604">
            <w:pPr>
              <w:widowControl/>
              <w:spacing w:line="240" w:lineRule="auto"/>
              <w:ind w:firstLine="0" w:firstLineChars="0"/>
              <w:jc w:val="center"/>
              <w:textAlignment w:val="center"/>
              <w:rPr>
                <w:rFonts w:eastAsia="宋体" w:cs="Times New Roman"/>
                <w:color w:val="000000"/>
                <w:kern w:val="0"/>
                <w:sz w:val="20"/>
                <w:szCs w:val="20"/>
              </w:rPr>
            </w:pPr>
            <w:r>
              <w:rPr>
                <w:rFonts w:eastAsia="宋体" w:cs="Times New Roman"/>
                <w:color w:val="000000"/>
                <w:kern w:val="0"/>
                <w:sz w:val="20"/>
                <w:szCs w:val="20"/>
              </w:rPr>
              <w:t>压紧管党治党政治责任</w:t>
            </w:r>
          </w:p>
        </w:tc>
        <w:tc>
          <w:tcPr>
            <w:tcW w:w="41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20DD3AE">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4.00</w:t>
            </w:r>
          </w:p>
        </w:tc>
        <w:tc>
          <w:tcPr>
            <w:tcW w:w="51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77EC0B6">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4.00</w:t>
            </w:r>
          </w:p>
        </w:tc>
        <w:tc>
          <w:tcPr>
            <w:tcW w:w="576" w:type="pct"/>
            <w:shd w:val="clear" w:color="auto" w:fill="auto"/>
            <w:noWrap/>
            <w:vAlign w:val="center"/>
          </w:tcPr>
          <w:p w14:paraId="74B3BB63">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100.00%</w:t>
            </w:r>
          </w:p>
        </w:tc>
      </w:tr>
      <w:tr w14:paraId="23391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777" w:type="pct"/>
            <w:vMerge w:val="continue"/>
            <w:shd w:val="clear" w:color="auto" w:fill="auto"/>
            <w:vAlign w:val="center"/>
          </w:tcPr>
          <w:p w14:paraId="6DF86ABE">
            <w:pPr>
              <w:spacing w:line="240" w:lineRule="auto"/>
              <w:ind w:firstLine="0" w:firstLineChars="0"/>
              <w:jc w:val="center"/>
              <w:rPr>
                <w:rFonts w:eastAsia="宋体" w:cs="Times New Roman"/>
                <w:color w:val="000000"/>
                <w:sz w:val="20"/>
                <w:szCs w:val="20"/>
              </w:rPr>
            </w:pPr>
          </w:p>
        </w:tc>
        <w:tc>
          <w:tcPr>
            <w:tcW w:w="1014" w:type="pct"/>
            <w:vMerge w:val="continue"/>
            <w:tcBorders>
              <w:top w:val="single" w:color="auto" w:sz="4" w:space="0"/>
              <w:bottom w:val="single" w:color="auto" w:sz="4" w:space="0"/>
              <w:right w:val="single" w:color="auto" w:sz="4" w:space="0"/>
            </w:tcBorders>
            <w:shd w:val="clear" w:color="auto" w:fill="auto"/>
            <w:vAlign w:val="center"/>
          </w:tcPr>
          <w:p w14:paraId="6E23E02D">
            <w:pPr>
              <w:widowControl/>
              <w:spacing w:line="240" w:lineRule="auto"/>
              <w:ind w:firstLine="0" w:firstLineChars="0"/>
              <w:jc w:val="center"/>
              <w:textAlignment w:val="center"/>
              <w:rPr>
                <w:rFonts w:eastAsia="宋体" w:cs="Times New Roman"/>
                <w:color w:val="000000"/>
                <w:kern w:val="0"/>
                <w:sz w:val="20"/>
                <w:szCs w:val="20"/>
              </w:rPr>
            </w:pPr>
          </w:p>
        </w:tc>
        <w:tc>
          <w:tcPr>
            <w:tcW w:w="1704" w:type="pct"/>
            <w:tcBorders>
              <w:top w:val="single" w:color="auto" w:sz="4" w:space="0"/>
              <w:left w:val="single" w:color="auto" w:sz="4" w:space="0"/>
              <w:bottom w:val="single" w:color="auto" w:sz="4" w:space="0"/>
              <w:right w:val="single" w:color="auto" w:sz="4" w:space="0"/>
            </w:tcBorders>
            <w:shd w:val="clear" w:color="auto" w:fill="auto"/>
            <w:vAlign w:val="center"/>
          </w:tcPr>
          <w:p w14:paraId="715C0093">
            <w:pPr>
              <w:widowControl/>
              <w:spacing w:line="240" w:lineRule="auto"/>
              <w:ind w:firstLine="0" w:firstLineChars="0"/>
              <w:jc w:val="center"/>
              <w:textAlignment w:val="center"/>
              <w:rPr>
                <w:rFonts w:eastAsia="宋体" w:cs="Times New Roman"/>
                <w:color w:val="000000"/>
                <w:kern w:val="0"/>
                <w:sz w:val="20"/>
                <w:szCs w:val="20"/>
              </w:rPr>
            </w:pPr>
            <w:r>
              <w:rPr>
                <w:rFonts w:eastAsia="宋体" w:cs="Times New Roman"/>
                <w:color w:val="000000"/>
                <w:kern w:val="0"/>
                <w:sz w:val="20"/>
                <w:szCs w:val="20"/>
              </w:rPr>
              <w:t>加强廉政风险防控</w:t>
            </w:r>
          </w:p>
        </w:tc>
        <w:tc>
          <w:tcPr>
            <w:tcW w:w="41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18F0CB2">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4.00</w:t>
            </w:r>
          </w:p>
        </w:tc>
        <w:tc>
          <w:tcPr>
            <w:tcW w:w="51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7E70E44">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4.00</w:t>
            </w:r>
          </w:p>
        </w:tc>
        <w:tc>
          <w:tcPr>
            <w:tcW w:w="576" w:type="pct"/>
            <w:shd w:val="clear" w:color="auto" w:fill="auto"/>
            <w:noWrap/>
            <w:vAlign w:val="center"/>
          </w:tcPr>
          <w:p w14:paraId="161AF516">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100.00%</w:t>
            </w:r>
          </w:p>
        </w:tc>
      </w:tr>
      <w:tr w14:paraId="07F6B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777" w:type="pct"/>
            <w:vMerge w:val="continue"/>
            <w:shd w:val="clear" w:color="auto" w:fill="auto"/>
            <w:vAlign w:val="center"/>
          </w:tcPr>
          <w:p w14:paraId="5F54D06D">
            <w:pPr>
              <w:spacing w:line="240" w:lineRule="auto"/>
              <w:ind w:firstLine="0" w:firstLineChars="0"/>
              <w:jc w:val="center"/>
              <w:rPr>
                <w:rFonts w:eastAsia="宋体" w:cs="Times New Roman"/>
                <w:color w:val="000000"/>
                <w:sz w:val="20"/>
                <w:szCs w:val="20"/>
              </w:rPr>
            </w:pPr>
          </w:p>
        </w:tc>
        <w:tc>
          <w:tcPr>
            <w:tcW w:w="1014" w:type="pct"/>
            <w:tcBorders>
              <w:top w:val="single" w:color="auto" w:sz="4" w:space="0"/>
              <w:bottom w:val="single" w:color="auto" w:sz="4" w:space="0"/>
              <w:right w:val="single" w:color="auto" w:sz="4" w:space="0"/>
            </w:tcBorders>
            <w:shd w:val="clear" w:color="auto" w:fill="auto"/>
            <w:vAlign w:val="center"/>
          </w:tcPr>
          <w:p w14:paraId="53CCC0B6">
            <w:pPr>
              <w:widowControl/>
              <w:spacing w:line="240" w:lineRule="auto"/>
              <w:ind w:firstLine="0" w:firstLineChars="0"/>
              <w:jc w:val="center"/>
              <w:textAlignment w:val="center"/>
              <w:rPr>
                <w:rFonts w:eastAsia="宋体" w:cs="Times New Roman"/>
                <w:color w:val="000000"/>
                <w:kern w:val="0"/>
                <w:sz w:val="20"/>
                <w:szCs w:val="20"/>
              </w:rPr>
            </w:pPr>
            <w:r>
              <w:rPr>
                <w:rFonts w:eastAsia="宋体" w:cs="Times New Roman"/>
                <w:color w:val="000000"/>
                <w:kern w:val="0"/>
                <w:sz w:val="20"/>
                <w:szCs w:val="20"/>
              </w:rPr>
              <w:t>土地基金收入</w:t>
            </w:r>
          </w:p>
        </w:tc>
        <w:tc>
          <w:tcPr>
            <w:tcW w:w="1704" w:type="pct"/>
            <w:tcBorders>
              <w:top w:val="single" w:color="auto" w:sz="4" w:space="0"/>
              <w:left w:val="single" w:color="auto" w:sz="4" w:space="0"/>
              <w:bottom w:val="single" w:color="auto" w:sz="4" w:space="0"/>
              <w:right w:val="single" w:color="auto" w:sz="4" w:space="0"/>
            </w:tcBorders>
            <w:shd w:val="clear" w:color="auto" w:fill="auto"/>
            <w:vAlign w:val="center"/>
          </w:tcPr>
          <w:p w14:paraId="7109DB28">
            <w:pPr>
              <w:widowControl/>
              <w:spacing w:line="240" w:lineRule="auto"/>
              <w:ind w:firstLine="0" w:firstLineChars="0"/>
              <w:jc w:val="center"/>
              <w:textAlignment w:val="center"/>
              <w:rPr>
                <w:rFonts w:eastAsia="宋体" w:cs="Times New Roman"/>
                <w:color w:val="000000"/>
                <w:kern w:val="0"/>
                <w:sz w:val="20"/>
                <w:szCs w:val="20"/>
              </w:rPr>
            </w:pPr>
            <w:r>
              <w:rPr>
                <w:rFonts w:eastAsia="宋体" w:cs="Times New Roman"/>
                <w:color w:val="000000"/>
                <w:kern w:val="0"/>
                <w:sz w:val="20"/>
                <w:szCs w:val="20"/>
              </w:rPr>
              <w:t>2020年土地基金收入任务完成率</w:t>
            </w:r>
          </w:p>
        </w:tc>
        <w:tc>
          <w:tcPr>
            <w:tcW w:w="41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22993F4">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6.00</w:t>
            </w:r>
          </w:p>
        </w:tc>
        <w:tc>
          <w:tcPr>
            <w:tcW w:w="51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01DCC63">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6.00</w:t>
            </w:r>
          </w:p>
        </w:tc>
        <w:tc>
          <w:tcPr>
            <w:tcW w:w="576" w:type="pct"/>
            <w:shd w:val="clear" w:color="auto" w:fill="auto"/>
            <w:noWrap/>
            <w:vAlign w:val="center"/>
          </w:tcPr>
          <w:p w14:paraId="0236B627">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100.00%</w:t>
            </w:r>
          </w:p>
        </w:tc>
      </w:tr>
      <w:tr w14:paraId="64A05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777" w:type="pct"/>
            <w:vMerge w:val="continue"/>
            <w:shd w:val="clear" w:color="auto" w:fill="auto"/>
            <w:vAlign w:val="center"/>
          </w:tcPr>
          <w:p w14:paraId="1E861D38">
            <w:pPr>
              <w:spacing w:line="240" w:lineRule="auto"/>
              <w:ind w:firstLine="0" w:firstLineChars="0"/>
              <w:jc w:val="center"/>
              <w:rPr>
                <w:rFonts w:eastAsia="宋体" w:cs="Times New Roman"/>
                <w:color w:val="000000"/>
                <w:sz w:val="20"/>
                <w:szCs w:val="20"/>
              </w:rPr>
            </w:pPr>
          </w:p>
        </w:tc>
        <w:tc>
          <w:tcPr>
            <w:tcW w:w="1014" w:type="pct"/>
            <w:vMerge w:val="restart"/>
            <w:tcBorders>
              <w:top w:val="single" w:color="auto" w:sz="4" w:space="0"/>
              <w:bottom w:val="single" w:color="auto" w:sz="4" w:space="0"/>
              <w:right w:val="single" w:color="auto" w:sz="4" w:space="0"/>
            </w:tcBorders>
            <w:shd w:val="clear" w:color="auto" w:fill="auto"/>
            <w:vAlign w:val="center"/>
          </w:tcPr>
          <w:p w14:paraId="1A1BB305">
            <w:pPr>
              <w:widowControl/>
              <w:spacing w:line="240" w:lineRule="auto"/>
              <w:ind w:firstLine="0" w:firstLineChars="0"/>
              <w:jc w:val="center"/>
              <w:textAlignment w:val="center"/>
              <w:rPr>
                <w:rFonts w:eastAsia="宋体" w:cs="Times New Roman"/>
                <w:color w:val="000000"/>
                <w:kern w:val="0"/>
                <w:sz w:val="20"/>
                <w:szCs w:val="20"/>
              </w:rPr>
            </w:pPr>
            <w:r>
              <w:rPr>
                <w:rFonts w:eastAsia="宋体" w:cs="Times New Roman"/>
                <w:color w:val="000000"/>
                <w:kern w:val="0"/>
                <w:sz w:val="20"/>
                <w:szCs w:val="20"/>
              </w:rPr>
              <w:t>专项整治</w:t>
            </w:r>
          </w:p>
        </w:tc>
        <w:tc>
          <w:tcPr>
            <w:tcW w:w="1704" w:type="pct"/>
            <w:tcBorders>
              <w:top w:val="single" w:color="auto" w:sz="4" w:space="0"/>
              <w:left w:val="single" w:color="auto" w:sz="4" w:space="0"/>
              <w:bottom w:val="single" w:color="auto" w:sz="4" w:space="0"/>
              <w:right w:val="single" w:color="auto" w:sz="4" w:space="0"/>
            </w:tcBorders>
            <w:shd w:val="clear" w:color="auto" w:fill="auto"/>
            <w:vAlign w:val="center"/>
          </w:tcPr>
          <w:p w14:paraId="33AF8E90">
            <w:pPr>
              <w:widowControl/>
              <w:spacing w:line="240" w:lineRule="auto"/>
              <w:ind w:firstLine="0" w:firstLineChars="0"/>
              <w:jc w:val="center"/>
              <w:textAlignment w:val="center"/>
              <w:rPr>
                <w:rFonts w:eastAsia="宋体" w:cs="Times New Roman"/>
                <w:color w:val="000000"/>
                <w:kern w:val="0"/>
                <w:sz w:val="20"/>
                <w:szCs w:val="20"/>
              </w:rPr>
            </w:pPr>
            <w:r>
              <w:rPr>
                <w:rFonts w:eastAsia="宋体" w:cs="Times New Roman"/>
                <w:color w:val="000000"/>
                <w:kern w:val="0"/>
                <w:sz w:val="20"/>
                <w:szCs w:val="20"/>
              </w:rPr>
              <w:t>大棚房专项清理整治行动</w:t>
            </w:r>
          </w:p>
        </w:tc>
        <w:tc>
          <w:tcPr>
            <w:tcW w:w="41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0FCEDEF">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4.00</w:t>
            </w:r>
          </w:p>
        </w:tc>
        <w:tc>
          <w:tcPr>
            <w:tcW w:w="51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240D430">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4.00</w:t>
            </w:r>
          </w:p>
        </w:tc>
        <w:tc>
          <w:tcPr>
            <w:tcW w:w="576" w:type="pct"/>
            <w:shd w:val="clear" w:color="auto" w:fill="auto"/>
            <w:noWrap/>
            <w:vAlign w:val="center"/>
          </w:tcPr>
          <w:p w14:paraId="7C18F5F3">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100.00%</w:t>
            </w:r>
          </w:p>
        </w:tc>
      </w:tr>
      <w:tr w14:paraId="468A4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777" w:type="pct"/>
            <w:vMerge w:val="continue"/>
            <w:shd w:val="clear" w:color="auto" w:fill="auto"/>
            <w:vAlign w:val="center"/>
          </w:tcPr>
          <w:p w14:paraId="75CA2793">
            <w:pPr>
              <w:spacing w:line="240" w:lineRule="auto"/>
              <w:ind w:firstLine="0" w:firstLineChars="0"/>
              <w:jc w:val="center"/>
              <w:rPr>
                <w:rFonts w:eastAsia="宋体" w:cs="Times New Roman"/>
                <w:color w:val="000000"/>
                <w:sz w:val="20"/>
                <w:szCs w:val="20"/>
              </w:rPr>
            </w:pPr>
          </w:p>
        </w:tc>
        <w:tc>
          <w:tcPr>
            <w:tcW w:w="1014" w:type="pct"/>
            <w:vMerge w:val="continue"/>
            <w:tcBorders>
              <w:top w:val="single" w:color="auto" w:sz="4" w:space="0"/>
              <w:bottom w:val="single" w:color="auto" w:sz="4" w:space="0"/>
              <w:right w:val="single" w:color="auto" w:sz="4" w:space="0"/>
            </w:tcBorders>
            <w:shd w:val="clear" w:color="auto" w:fill="auto"/>
            <w:vAlign w:val="center"/>
          </w:tcPr>
          <w:p w14:paraId="675D1B73">
            <w:pPr>
              <w:widowControl/>
              <w:spacing w:line="240" w:lineRule="auto"/>
              <w:ind w:firstLine="0" w:firstLineChars="0"/>
              <w:jc w:val="center"/>
              <w:textAlignment w:val="center"/>
              <w:rPr>
                <w:rFonts w:eastAsia="宋体" w:cs="Times New Roman"/>
                <w:color w:val="000000"/>
                <w:kern w:val="0"/>
                <w:sz w:val="20"/>
                <w:szCs w:val="20"/>
              </w:rPr>
            </w:pPr>
          </w:p>
        </w:tc>
        <w:tc>
          <w:tcPr>
            <w:tcW w:w="1704" w:type="pct"/>
            <w:tcBorders>
              <w:top w:val="single" w:color="auto" w:sz="4" w:space="0"/>
              <w:left w:val="single" w:color="auto" w:sz="4" w:space="0"/>
              <w:bottom w:val="single" w:color="auto" w:sz="4" w:space="0"/>
              <w:right w:val="single" w:color="auto" w:sz="4" w:space="0"/>
            </w:tcBorders>
            <w:shd w:val="clear" w:color="auto" w:fill="auto"/>
            <w:vAlign w:val="center"/>
          </w:tcPr>
          <w:p w14:paraId="79F2FE17">
            <w:pPr>
              <w:widowControl/>
              <w:spacing w:line="240" w:lineRule="auto"/>
              <w:ind w:firstLine="0" w:firstLineChars="0"/>
              <w:jc w:val="center"/>
              <w:textAlignment w:val="center"/>
              <w:rPr>
                <w:rFonts w:eastAsia="宋体" w:cs="Times New Roman"/>
                <w:color w:val="000000"/>
                <w:kern w:val="0"/>
                <w:sz w:val="20"/>
                <w:szCs w:val="20"/>
              </w:rPr>
            </w:pPr>
            <w:r>
              <w:rPr>
                <w:rFonts w:eastAsia="宋体" w:cs="Times New Roman"/>
                <w:color w:val="000000"/>
                <w:kern w:val="0"/>
                <w:sz w:val="20"/>
                <w:szCs w:val="20"/>
              </w:rPr>
              <w:t>违建别墅整治任务</w:t>
            </w:r>
          </w:p>
        </w:tc>
        <w:tc>
          <w:tcPr>
            <w:tcW w:w="41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A0AA719">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4.00</w:t>
            </w:r>
          </w:p>
        </w:tc>
        <w:tc>
          <w:tcPr>
            <w:tcW w:w="51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5B955E8">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4.00</w:t>
            </w:r>
          </w:p>
        </w:tc>
        <w:tc>
          <w:tcPr>
            <w:tcW w:w="576" w:type="pct"/>
            <w:shd w:val="clear" w:color="auto" w:fill="auto"/>
            <w:noWrap/>
            <w:vAlign w:val="center"/>
          </w:tcPr>
          <w:p w14:paraId="32216772">
            <w:pPr>
              <w:widowControl/>
              <w:spacing w:line="240" w:lineRule="auto"/>
              <w:ind w:firstLine="0" w:firstLineChars="0"/>
              <w:jc w:val="center"/>
              <w:textAlignment w:val="center"/>
              <w:rPr>
                <w:rFonts w:eastAsia="宋体" w:cs="Times New Roman"/>
                <w:color w:val="000000"/>
                <w:kern w:val="0"/>
                <w:sz w:val="20"/>
                <w:szCs w:val="20"/>
              </w:rPr>
            </w:pPr>
            <w:r>
              <w:rPr>
                <w:rFonts w:eastAsia="等线" w:cs="Times New Roman"/>
                <w:color w:val="000000"/>
                <w:sz w:val="20"/>
                <w:szCs w:val="20"/>
              </w:rPr>
              <w:t>100.00%</w:t>
            </w:r>
          </w:p>
        </w:tc>
      </w:tr>
      <w:tr w14:paraId="19DF7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3495" w:type="pct"/>
            <w:gridSpan w:val="3"/>
            <w:shd w:val="clear" w:color="auto" w:fill="auto"/>
            <w:vAlign w:val="center"/>
          </w:tcPr>
          <w:p w14:paraId="413189C4">
            <w:pPr>
              <w:widowControl/>
              <w:spacing w:line="240" w:lineRule="auto"/>
              <w:ind w:firstLine="0" w:firstLineChars="0"/>
              <w:jc w:val="center"/>
              <w:textAlignment w:val="center"/>
              <w:rPr>
                <w:rFonts w:eastAsia="宋体" w:cs="Times New Roman"/>
                <w:b/>
                <w:bCs/>
                <w:color w:val="000000"/>
                <w:kern w:val="0"/>
                <w:sz w:val="20"/>
                <w:szCs w:val="20"/>
              </w:rPr>
            </w:pPr>
            <w:r>
              <w:rPr>
                <w:rFonts w:eastAsia="宋体" w:cs="Times New Roman"/>
                <w:b/>
                <w:bCs/>
                <w:color w:val="000000"/>
                <w:sz w:val="20"/>
                <w:szCs w:val="20"/>
              </w:rPr>
              <w:t>合计</w:t>
            </w:r>
          </w:p>
        </w:tc>
        <w:tc>
          <w:tcPr>
            <w:tcW w:w="414" w:type="pct"/>
            <w:shd w:val="clear" w:color="auto" w:fill="auto"/>
            <w:noWrap/>
            <w:vAlign w:val="center"/>
          </w:tcPr>
          <w:p w14:paraId="247EEF22">
            <w:pPr>
              <w:widowControl/>
              <w:spacing w:line="240" w:lineRule="auto"/>
              <w:ind w:firstLine="0" w:firstLineChars="0"/>
              <w:jc w:val="center"/>
              <w:textAlignment w:val="center"/>
              <w:rPr>
                <w:rFonts w:eastAsia="宋体" w:cs="Times New Roman"/>
                <w:b/>
                <w:bCs/>
                <w:color w:val="000000"/>
                <w:kern w:val="0"/>
                <w:sz w:val="20"/>
                <w:szCs w:val="20"/>
              </w:rPr>
            </w:pPr>
            <w:r>
              <w:rPr>
                <w:rFonts w:eastAsia="宋体" w:cs="Times New Roman"/>
                <w:b/>
                <w:bCs/>
                <w:color w:val="000000"/>
                <w:kern w:val="0"/>
                <w:sz w:val="20"/>
                <w:szCs w:val="20"/>
              </w:rPr>
              <w:t>100</w:t>
            </w:r>
          </w:p>
        </w:tc>
        <w:tc>
          <w:tcPr>
            <w:tcW w:w="515" w:type="pct"/>
            <w:tcBorders>
              <w:top w:val="single" w:color="auto" w:sz="4" w:space="0"/>
              <w:left w:val="nil"/>
              <w:bottom w:val="single" w:color="auto" w:sz="4" w:space="0"/>
              <w:right w:val="single" w:color="auto" w:sz="4" w:space="0"/>
            </w:tcBorders>
            <w:shd w:val="clear" w:color="auto" w:fill="auto"/>
            <w:noWrap/>
            <w:vAlign w:val="center"/>
          </w:tcPr>
          <w:p w14:paraId="34A8B768">
            <w:pPr>
              <w:widowControl/>
              <w:spacing w:line="240" w:lineRule="auto"/>
              <w:ind w:firstLine="0" w:firstLineChars="0"/>
              <w:jc w:val="center"/>
              <w:textAlignment w:val="center"/>
              <w:rPr>
                <w:rFonts w:eastAsia="宋体" w:cs="Times New Roman"/>
                <w:b/>
                <w:bCs/>
                <w:color w:val="000000"/>
                <w:kern w:val="0"/>
                <w:sz w:val="20"/>
                <w:szCs w:val="20"/>
              </w:rPr>
            </w:pPr>
            <w:r>
              <w:rPr>
                <w:rFonts w:eastAsia="宋体" w:cs="Times New Roman"/>
                <w:b/>
                <w:bCs/>
                <w:color w:val="000000"/>
                <w:kern w:val="0"/>
                <w:sz w:val="20"/>
                <w:szCs w:val="20"/>
              </w:rPr>
              <w:t>88.45</w:t>
            </w:r>
          </w:p>
        </w:tc>
        <w:tc>
          <w:tcPr>
            <w:tcW w:w="576" w:type="pct"/>
            <w:shd w:val="clear" w:color="auto" w:fill="auto"/>
            <w:noWrap/>
            <w:vAlign w:val="center"/>
          </w:tcPr>
          <w:p w14:paraId="4790D245">
            <w:pPr>
              <w:widowControl/>
              <w:spacing w:line="240" w:lineRule="auto"/>
              <w:ind w:firstLine="0" w:firstLineChars="0"/>
              <w:jc w:val="center"/>
              <w:textAlignment w:val="center"/>
              <w:rPr>
                <w:rFonts w:eastAsia="宋体" w:cs="Times New Roman"/>
                <w:b/>
                <w:bCs/>
                <w:color w:val="000000"/>
                <w:kern w:val="0"/>
                <w:sz w:val="20"/>
                <w:szCs w:val="20"/>
              </w:rPr>
            </w:pPr>
            <w:r>
              <w:rPr>
                <w:rFonts w:eastAsia="宋体" w:cs="Times New Roman"/>
                <w:b/>
                <w:bCs/>
                <w:color w:val="000000"/>
                <w:kern w:val="0"/>
                <w:sz w:val="20"/>
                <w:szCs w:val="20"/>
              </w:rPr>
              <w:t>88.45%</w:t>
            </w:r>
          </w:p>
        </w:tc>
      </w:tr>
    </w:tbl>
    <w:p w14:paraId="2C10B840">
      <w:pPr>
        <w:ind w:firstLine="560"/>
      </w:pPr>
      <w:bookmarkStart w:id="57" w:name="_Toc77784263"/>
    </w:p>
    <w:p w14:paraId="187936CF">
      <w:pPr>
        <w:pStyle w:val="3"/>
        <w:ind w:firstLine="643" w:firstLineChars="200"/>
        <w:jc w:val="both"/>
        <w:rPr>
          <w:rFonts w:eastAsia="楷体_GB2312" w:cs="Times New Roman"/>
          <w:sz w:val="32"/>
        </w:rPr>
      </w:pPr>
      <w:r>
        <w:rPr>
          <w:rFonts w:eastAsia="楷体_GB2312" w:cs="Times New Roman"/>
          <w:sz w:val="32"/>
        </w:rPr>
        <w:t>（二）存在问题</w:t>
      </w:r>
      <w:bookmarkEnd w:id="57"/>
    </w:p>
    <w:p w14:paraId="7D386894">
      <w:pPr>
        <w:pStyle w:val="4"/>
        <w:ind w:firstLine="643" w:firstLineChars="200"/>
        <w:rPr>
          <w:rFonts w:ascii="Times New Roman" w:hAnsi="Times New Roman" w:eastAsia="仿宋_GB2312" w:cs="Times New Roman"/>
          <w:sz w:val="32"/>
        </w:rPr>
      </w:pPr>
      <w:bookmarkStart w:id="58" w:name="_Toc76938460"/>
      <w:bookmarkStart w:id="59" w:name="_Toc77784264"/>
      <w:r>
        <w:rPr>
          <w:rFonts w:ascii="Times New Roman" w:hAnsi="Times New Roman" w:eastAsia="仿宋_GB2312" w:cs="Times New Roman"/>
          <w:sz w:val="32"/>
        </w:rPr>
        <w:t>1.</w:t>
      </w:r>
      <w:bookmarkEnd w:id="58"/>
      <w:r>
        <w:rPr>
          <w:rFonts w:ascii="Times New Roman" w:hAnsi="Times New Roman" w:eastAsia="仿宋_GB2312" w:cs="Times New Roman"/>
          <w:sz w:val="32"/>
        </w:rPr>
        <w:t>内部管理制度未及时更新，与当前职能职责匹配度不高</w:t>
      </w:r>
      <w:bookmarkEnd w:id="59"/>
    </w:p>
    <w:p w14:paraId="7810FD9C">
      <w:pPr>
        <w:ind w:firstLine="640"/>
        <w:rPr>
          <w:rFonts w:eastAsia="仿宋_GB2312" w:cs="Times New Roman"/>
          <w:sz w:val="32"/>
          <w:szCs w:val="24"/>
        </w:rPr>
      </w:pPr>
      <w:r>
        <w:rPr>
          <w:rFonts w:eastAsia="仿宋_GB2312" w:cs="Times New Roman"/>
          <w:sz w:val="32"/>
          <w:szCs w:val="24"/>
        </w:rPr>
        <w:t>根据《绵竹市机构改革方案》（竹市委办〔2019〕12号），绵竹市自然资源和规划局是将原有市国土资源局、市林业局的职责和原有</w:t>
      </w:r>
      <w:r>
        <w:rPr>
          <w:rFonts w:hint="eastAsia" w:eastAsia="仿宋_GB2312" w:cs="Times New Roman"/>
          <w:sz w:val="32"/>
          <w:szCs w:val="24"/>
          <w:lang w:eastAsia="zh-CN"/>
        </w:rPr>
        <w:t>住房和城乡建设局</w:t>
      </w:r>
      <w:r>
        <w:rPr>
          <w:rFonts w:eastAsia="仿宋_GB2312" w:cs="Times New Roman"/>
          <w:sz w:val="32"/>
          <w:szCs w:val="24"/>
        </w:rPr>
        <w:t>的风景名胜区管理职责以及相关机构的城乡规划管理职责、水资源调查和确权登记管理职责、草原资源调查和确权登记管理职责、草原监督管理职责整合优化组建而成的行政单位。而目前自然资源和规划局的内部管理制度主要沿用原国土资源局的11项制度，未能完全覆盖机构改革后的部门职能职责，如林草方面相关工作未被原国土资源局相关管理制度涵盖。</w:t>
      </w:r>
    </w:p>
    <w:p w14:paraId="3EDE2FA6">
      <w:pPr>
        <w:pStyle w:val="4"/>
        <w:ind w:firstLine="643" w:firstLineChars="200"/>
        <w:rPr>
          <w:rFonts w:ascii="Times New Roman" w:hAnsi="Times New Roman" w:eastAsia="仿宋_GB2312" w:cs="Times New Roman"/>
          <w:sz w:val="32"/>
        </w:rPr>
      </w:pPr>
      <w:bookmarkStart w:id="60" w:name="_Toc77784265"/>
      <w:bookmarkStart w:id="61" w:name="_Toc76938461"/>
      <w:r>
        <w:rPr>
          <w:rFonts w:ascii="Times New Roman" w:hAnsi="Times New Roman" w:eastAsia="仿宋_GB2312" w:cs="Times New Roman"/>
          <w:sz w:val="32"/>
        </w:rPr>
        <w:t>2.绩效目标管理不到位，项目监控能力有待提升</w:t>
      </w:r>
      <w:bookmarkEnd w:id="60"/>
      <w:bookmarkEnd w:id="61"/>
    </w:p>
    <w:p w14:paraId="6CD6D562">
      <w:pPr>
        <w:ind w:firstLine="640"/>
        <w:rPr>
          <w:rFonts w:eastAsia="仿宋_GB2312" w:cs="Times New Roman"/>
          <w:sz w:val="32"/>
          <w:szCs w:val="24"/>
        </w:rPr>
      </w:pPr>
      <w:r>
        <w:rPr>
          <w:rFonts w:eastAsia="仿宋_GB2312" w:cs="Times New Roman"/>
          <w:sz w:val="32"/>
          <w:szCs w:val="24"/>
        </w:rPr>
        <w:t>绩效目标管理是预算绩效管理的首要环节，指导具体工作的开展。绩效目标量化程度越高，绩效工作的可考核性越强。据绩效目标申报表来看，自然资源和规划局在54个项目的绩效目标申报工作中，项目完成指标（数量、质量、时效、成本）的绩效目标较明确，而大部分项目效益指标的量化程度未体现，对于后期部门项目管理及绩效评价的可指导性较弱。如“2015年禁止开发区补助资金”的经济效益指标设定为“可获取较好的经济收入”，对于经济收入这一可量化的指没有明确的目标；又如“森林病虫防治项目”的生态效益指标设定为“使绵竹山更绿、水更清、天更蓝”，对于生态提升工作的完成程度没有设定计划，在绩效监控和绩效评价中，难以就绩效目标对工作进行监控和评价。</w:t>
      </w:r>
    </w:p>
    <w:p w14:paraId="08C507E4">
      <w:pPr>
        <w:ind w:firstLine="640"/>
        <w:rPr>
          <w:rFonts w:eastAsia="仿宋_GB2312" w:cs="Times New Roman"/>
          <w:sz w:val="32"/>
          <w:szCs w:val="24"/>
        </w:rPr>
      </w:pPr>
      <w:r>
        <w:rPr>
          <w:rFonts w:eastAsia="仿宋_GB2312" w:cs="Times New Roman"/>
          <w:sz w:val="32"/>
          <w:szCs w:val="24"/>
        </w:rPr>
        <w:t>另外，项目绩效目标中，一是部分指标存在错漏情况，如“绵竹市不动产登记信息系统及数据整合项目”的时效指标为“2017年11月30日前”；二是部分绩效目标设立不合理，如“不动产运行及业务工作费”的数量指标“临聘人员工资、保险、资金等”，指标值为“25人”；三是部分指标存在歧义，如“第六次沙化监测工作经费”项目的时效指标是“2020年4月前”，未明确是否含4月。上述问题</w:t>
      </w:r>
      <w:r>
        <w:rPr>
          <w:rFonts w:hint="eastAsia" w:eastAsia="仿宋_GB2312" w:cs="Times New Roman"/>
          <w:sz w:val="32"/>
          <w:szCs w:val="24"/>
        </w:rPr>
        <w:t>可能</w:t>
      </w:r>
      <w:r>
        <w:rPr>
          <w:rFonts w:eastAsia="仿宋_GB2312" w:cs="Times New Roman"/>
          <w:sz w:val="32"/>
          <w:szCs w:val="24"/>
        </w:rPr>
        <w:t>会影响到工作方案的</w:t>
      </w:r>
      <w:r>
        <w:rPr>
          <w:rFonts w:hint="eastAsia" w:eastAsia="仿宋_GB2312" w:cs="Times New Roman"/>
          <w:sz w:val="32"/>
          <w:szCs w:val="24"/>
        </w:rPr>
        <w:t>编制</w:t>
      </w:r>
      <w:r>
        <w:rPr>
          <w:rFonts w:eastAsia="仿宋_GB2312" w:cs="Times New Roman"/>
          <w:sz w:val="32"/>
          <w:szCs w:val="24"/>
        </w:rPr>
        <w:t>和对绩效目标完成情况的评价。</w:t>
      </w:r>
    </w:p>
    <w:p w14:paraId="09CC6FE7">
      <w:pPr>
        <w:pStyle w:val="4"/>
        <w:ind w:firstLine="643" w:firstLineChars="200"/>
        <w:rPr>
          <w:rFonts w:ascii="Times New Roman" w:hAnsi="Times New Roman" w:eastAsia="仿宋_GB2312" w:cs="Times New Roman"/>
          <w:sz w:val="32"/>
        </w:rPr>
      </w:pPr>
      <w:bookmarkStart w:id="62" w:name="_Toc77784266"/>
      <w:bookmarkStart w:id="63" w:name="_Toc76938462"/>
      <w:r>
        <w:rPr>
          <w:rFonts w:ascii="Times New Roman" w:hAnsi="Times New Roman" w:eastAsia="仿宋_GB2312" w:cs="Times New Roman"/>
          <w:sz w:val="32"/>
        </w:rPr>
        <w:t>3.预算编制不精准，中期预算调整增幅较大</w:t>
      </w:r>
      <w:bookmarkEnd w:id="62"/>
      <w:bookmarkEnd w:id="63"/>
    </w:p>
    <w:p w14:paraId="02ED9BA2">
      <w:pPr>
        <w:ind w:firstLine="640"/>
        <w:rPr>
          <w:rFonts w:eastAsia="仿宋_GB2312" w:cs="Times New Roman"/>
          <w:sz w:val="32"/>
          <w:szCs w:val="24"/>
        </w:rPr>
      </w:pPr>
      <w:r>
        <w:rPr>
          <w:rFonts w:eastAsia="仿宋_GB2312" w:cs="Times New Roman"/>
          <w:sz w:val="32"/>
          <w:szCs w:val="24"/>
        </w:rPr>
        <w:t>2020年自然资源和规划局年初预算58236.9万元，调整后预算为65235.71万元，相差6998.75万元，增幅12.02%。其中调增预算最多的社会保障和就业支出，年初预算数229.55万元，调整预算数6493.38万元，增幅2729.71%，调增的主要原因为年初编制预算时，部分拆迁类项目时尚未立项，立项后调整预算较多。除年初未立项项目调整预算外，另有编制预算时未考虑到部门工作会涉及支出，如节能环保方面的支出，节能环保支出年初预算数为0元，后调整预算15.62万元。</w:t>
      </w:r>
    </w:p>
    <w:p w14:paraId="7078377E">
      <w:pPr>
        <w:pStyle w:val="3"/>
        <w:ind w:firstLine="643" w:firstLineChars="200"/>
        <w:jc w:val="both"/>
        <w:rPr>
          <w:rFonts w:eastAsia="楷体_GB2312" w:cs="Times New Roman"/>
          <w:sz w:val="32"/>
        </w:rPr>
      </w:pPr>
      <w:bookmarkStart w:id="64" w:name="_Toc77784267"/>
      <w:r>
        <w:rPr>
          <w:rFonts w:hint="eastAsia" w:eastAsia="楷体_GB2312" w:cs="Times New Roman"/>
          <w:sz w:val="32"/>
        </w:rPr>
        <w:t>（三）相关建议</w:t>
      </w:r>
      <w:bookmarkEnd w:id="64"/>
    </w:p>
    <w:p w14:paraId="4EF5CBF8">
      <w:pPr>
        <w:pStyle w:val="4"/>
        <w:ind w:firstLine="643" w:firstLineChars="200"/>
        <w:rPr>
          <w:rFonts w:ascii="Times New Roman" w:hAnsi="Times New Roman" w:eastAsia="仿宋_GB2312" w:cs="Times New Roman"/>
          <w:sz w:val="32"/>
        </w:rPr>
      </w:pPr>
      <w:bookmarkStart w:id="65" w:name="_Toc77784268"/>
      <w:bookmarkStart w:id="66" w:name="_Toc76938464"/>
      <w:r>
        <w:rPr>
          <w:rFonts w:hint="eastAsia" w:ascii="Times New Roman" w:hAnsi="Times New Roman" w:eastAsia="仿宋_GB2312" w:cs="Times New Roman"/>
          <w:sz w:val="32"/>
        </w:rPr>
        <w:t>1</w:t>
      </w:r>
      <w:r>
        <w:rPr>
          <w:rFonts w:ascii="Times New Roman" w:hAnsi="Times New Roman" w:eastAsia="仿宋_GB2312" w:cs="Times New Roman"/>
          <w:sz w:val="32"/>
        </w:rPr>
        <w:t>.</w:t>
      </w:r>
      <w:r>
        <w:rPr>
          <w:rFonts w:hint="eastAsia" w:ascii="Times New Roman" w:hAnsi="Times New Roman" w:eastAsia="仿宋_GB2312" w:cs="Times New Roman"/>
          <w:sz w:val="32"/>
        </w:rPr>
        <w:t>梳理部门职能职责，完善相关管理制度</w:t>
      </w:r>
      <w:bookmarkEnd w:id="65"/>
      <w:bookmarkEnd w:id="66"/>
    </w:p>
    <w:p w14:paraId="469EC8ED">
      <w:pPr>
        <w:ind w:firstLine="640"/>
        <w:rPr>
          <w:rFonts w:eastAsia="仿宋_GB2312" w:cs="Times New Roman"/>
          <w:sz w:val="32"/>
          <w:szCs w:val="24"/>
        </w:rPr>
      </w:pPr>
      <w:r>
        <w:rPr>
          <w:rFonts w:hint="eastAsia" w:eastAsia="仿宋_GB2312" w:cs="Times New Roman"/>
          <w:sz w:val="32"/>
          <w:szCs w:val="24"/>
        </w:rPr>
        <w:t>建议自然资源和规划局根据部门现行职能职责，认真梳理现有的规章制度，开展规章制度的废、改、立工作。“废”是指：凡在不符合机构改革后部门的职能职责，或与现行的法律法规及国家政策规定不相符合，不适宜于自然资源和规划局的管理要求，已经过时的规章制度，予以废止。“改”是指：对不适应新形势要求，部分内容与上级有关文件精神要求不一致的；现行依据有所调整，不完全适宜于部门规范管理的；尚不够完善，应依照有关规定程序应对部分内容予以修改、合并的，要修订完善。“立”是指对于机构改革后现行工作需要而尚未建立的规章制度，要进行科学论证，限期制定。</w:t>
      </w:r>
    </w:p>
    <w:p w14:paraId="548F1226">
      <w:pPr>
        <w:pStyle w:val="4"/>
        <w:ind w:firstLine="643" w:firstLineChars="200"/>
        <w:rPr>
          <w:rFonts w:ascii="Times New Roman" w:hAnsi="Times New Roman" w:eastAsia="仿宋_GB2312" w:cs="Times New Roman"/>
          <w:sz w:val="32"/>
        </w:rPr>
      </w:pPr>
      <w:bookmarkStart w:id="67" w:name="_Toc77784269"/>
      <w:bookmarkStart w:id="68" w:name="_Toc76938465"/>
      <w:r>
        <w:rPr>
          <w:rFonts w:hint="eastAsia" w:ascii="Times New Roman" w:hAnsi="Times New Roman" w:eastAsia="仿宋_GB2312" w:cs="Times New Roman"/>
          <w:sz w:val="32"/>
        </w:rPr>
        <w:t>2</w:t>
      </w:r>
      <w:r>
        <w:rPr>
          <w:rFonts w:ascii="Times New Roman" w:hAnsi="Times New Roman" w:eastAsia="仿宋_GB2312" w:cs="Times New Roman"/>
          <w:sz w:val="32"/>
        </w:rPr>
        <w:t>.优化绩效目标编制，增强指标指引价值</w:t>
      </w:r>
      <w:bookmarkEnd w:id="67"/>
      <w:bookmarkEnd w:id="68"/>
    </w:p>
    <w:p w14:paraId="0FB824C8">
      <w:pPr>
        <w:ind w:firstLine="640"/>
        <w:rPr>
          <w:rFonts w:eastAsia="仿宋_GB2312" w:cs="Times New Roman"/>
          <w:sz w:val="32"/>
          <w:szCs w:val="24"/>
        </w:rPr>
      </w:pPr>
      <w:r>
        <w:rPr>
          <w:rFonts w:eastAsia="仿宋_GB2312" w:cs="Times New Roman"/>
          <w:sz w:val="32"/>
          <w:szCs w:val="24"/>
        </w:rPr>
        <w:t>建议</w:t>
      </w:r>
      <w:r>
        <w:rPr>
          <w:rFonts w:hint="eastAsia" w:eastAsia="仿宋_GB2312" w:cs="Times New Roman"/>
          <w:sz w:val="32"/>
          <w:szCs w:val="24"/>
        </w:rPr>
        <w:t>自然资源和规划局</w:t>
      </w:r>
      <w:r>
        <w:rPr>
          <w:rFonts w:eastAsia="仿宋_GB2312" w:cs="Times New Roman"/>
          <w:sz w:val="32"/>
          <w:szCs w:val="24"/>
        </w:rPr>
        <w:t>重视年初绩效目标的设置工作，</w:t>
      </w:r>
      <w:r>
        <w:rPr>
          <w:rFonts w:hint="eastAsia" w:eastAsia="仿宋_GB2312" w:cs="Times New Roman"/>
          <w:sz w:val="32"/>
          <w:szCs w:val="24"/>
        </w:rPr>
        <w:t>一是</w:t>
      </w:r>
      <w:r>
        <w:rPr>
          <w:rFonts w:eastAsia="仿宋_GB2312" w:cs="Times New Roman"/>
          <w:sz w:val="32"/>
          <w:szCs w:val="24"/>
        </w:rPr>
        <w:t>加强绩效目标的研讨，从部门整体的产出、效果和满意度设置相应的指标，提高指标设置的全面性，确保指标体系能够全面覆盖预算规模，全面匹配部门的职责，全面反应部门年度工作效果，同时提高绩效指标的可衡量性</w:t>
      </w:r>
      <w:r>
        <w:rPr>
          <w:rFonts w:hint="eastAsia" w:eastAsia="仿宋_GB2312" w:cs="Times New Roman"/>
          <w:sz w:val="32"/>
          <w:szCs w:val="24"/>
        </w:rPr>
        <w:t>；二是加强绩效目标的专业审核。从当前绩效目标的审核情况来看，还需要进一步强化绩效目标的填报要求，通过内外部的专业审核，促进绩效目标质量的不断提升，保证绩效指标能够真正反映绩效考评结果，有序推进部门绩效改进优化工作；三是</w:t>
      </w:r>
      <w:r>
        <w:rPr>
          <w:rFonts w:eastAsia="仿宋_GB2312" w:cs="Times New Roman"/>
          <w:sz w:val="32"/>
          <w:szCs w:val="24"/>
        </w:rPr>
        <w:t>建议项目单位可结合围绕往年统计及考核数据完善相应关键性指标，将财政预算绩效指标切实应用到实际工作管理中。</w:t>
      </w:r>
    </w:p>
    <w:p w14:paraId="2667D27E">
      <w:pPr>
        <w:pStyle w:val="4"/>
        <w:ind w:firstLine="643" w:firstLineChars="200"/>
        <w:rPr>
          <w:rFonts w:ascii="Times New Roman" w:hAnsi="Times New Roman" w:eastAsia="仿宋_GB2312" w:cs="Times New Roman"/>
          <w:sz w:val="32"/>
        </w:rPr>
      </w:pPr>
      <w:bookmarkStart w:id="69" w:name="_Toc76938466"/>
      <w:bookmarkStart w:id="70" w:name="_Toc77784270"/>
      <w:r>
        <w:rPr>
          <w:rFonts w:ascii="Times New Roman" w:hAnsi="Times New Roman" w:eastAsia="仿宋_GB2312" w:cs="Times New Roman"/>
          <w:sz w:val="32"/>
        </w:rPr>
        <w:t>3.</w:t>
      </w:r>
      <w:r>
        <w:rPr>
          <w:rFonts w:hint="eastAsia" w:ascii="Times New Roman" w:hAnsi="Times New Roman" w:eastAsia="仿宋_GB2312" w:cs="Times New Roman"/>
          <w:sz w:val="32"/>
        </w:rPr>
        <w:t>强化预算编制把控能力，制定预算编制操作手册</w:t>
      </w:r>
      <w:bookmarkEnd w:id="69"/>
      <w:bookmarkEnd w:id="70"/>
    </w:p>
    <w:p w14:paraId="7802EA56">
      <w:pPr>
        <w:ind w:firstLine="640"/>
        <w:rPr>
          <w:rFonts w:eastAsia="仿宋_GB2312" w:cs="Times New Roman"/>
          <w:sz w:val="32"/>
          <w:szCs w:val="24"/>
        </w:rPr>
      </w:pPr>
      <w:r>
        <w:rPr>
          <w:rFonts w:eastAsia="仿宋_GB2312" w:cs="Times New Roman"/>
          <w:sz w:val="32"/>
          <w:szCs w:val="24"/>
        </w:rPr>
        <w:t>预算的编制需要各岗位通力配合，才能制定科学、合理、可操作性强的年度预算。一是</w:t>
      </w:r>
      <w:r>
        <w:rPr>
          <w:rFonts w:hint="eastAsia" w:eastAsia="仿宋_GB2312" w:cs="Times New Roman"/>
          <w:sz w:val="32"/>
          <w:szCs w:val="24"/>
        </w:rPr>
        <w:t>建议自然资源和规划局</w:t>
      </w:r>
      <w:r>
        <w:rPr>
          <w:rFonts w:eastAsia="仿宋_GB2312" w:cs="Times New Roman"/>
          <w:sz w:val="32"/>
          <w:szCs w:val="24"/>
        </w:rPr>
        <w:t>加强预算编制的把控力度。建议部门加强预算编制把控作用，对于预算申报项目、申报金额、申报明细进行详细了解及审查，就预算金额与项目工作量匹配程度进行把控，保障预算编制的准确性</w:t>
      </w:r>
      <w:r>
        <w:rPr>
          <w:rFonts w:hint="eastAsia" w:eastAsia="仿宋_GB2312" w:cs="Times New Roman"/>
          <w:sz w:val="32"/>
          <w:szCs w:val="24"/>
        </w:rPr>
        <w:t>；二是建议完善详细的预算编制操作手册，对于项目预算的编制规则应细化到编制流程的每一个环节,只有规则细化了才有可能让编制出的内容更加细化,避免预算编制的模糊化处理，将准确、细化版编制情况进行示例。</w:t>
      </w:r>
    </w:p>
    <w:p w14:paraId="22E4D8C9">
      <w:pPr>
        <w:widowControl/>
        <w:ind w:firstLine="0" w:firstLineChars="0"/>
        <w:jc w:val="left"/>
        <w:rPr>
          <w:rFonts w:eastAsia="仿宋_GB2312" w:cs="Times New Roman"/>
          <w:sz w:val="32"/>
          <w:szCs w:val="24"/>
        </w:rPr>
      </w:pPr>
      <w:r>
        <w:rPr>
          <w:rFonts w:eastAsia="仿宋_GB2312" w:cs="Times New Roman"/>
          <w:sz w:val="32"/>
          <w:szCs w:val="24"/>
        </w:rPr>
        <w:br w:type="page"/>
      </w:r>
    </w:p>
    <w:p w14:paraId="23A93513">
      <w:pPr>
        <w:spacing w:line="600" w:lineRule="exact"/>
        <w:ind w:firstLine="640"/>
        <w:rPr>
          <w:rFonts w:eastAsia="仿宋_GB2312" w:cs="Times New Roman"/>
          <w:sz w:val="32"/>
          <w:szCs w:val="24"/>
        </w:rPr>
        <w:sectPr>
          <w:pgSz w:w="11906" w:h="16838"/>
          <w:pgMar w:top="1440" w:right="1800" w:bottom="1440" w:left="1800" w:header="851" w:footer="992" w:gutter="0"/>
          <w:pgNumType w:start="1"/>
          <w:cols w:space="425" w:num="1"/>
          <w:docGrid w:type="lines" w:linePitch="312" w:charSpace="0"/>
        </w:sectPr>
      </w:pPr>
    </w:p>
    <w:p w14:paraId="5689B59A">
      <w:pPr>
        <w:pStyle w:val="2"/>
        <w:spacing w:line="600" w:lineRule="exact"/>
        <w:ind w:firstLine="640" w:firstLineChars="200"/>
        <w:jc w:val="both"/>
        <w:rPr>
          <w:rFonts w:cs="Times New Roman"/>
          <w:b w:val="0"/>
          <w:bCs w:val="0"/>
          <w:sz w:val="32"/>
          <w:szCs w:val="32"/>
        </w:rPr>
      </w:pPr>
      <w:bookmarkStart w:id="71" w:name="_Toc77784271"/>
      <w:r>
        <w:rPr>
          <w:rFonts w:hint="eastAsia" w:cs="Times New Roman"/>
          <w:b w:val="0"/>
          <w:bCs w:val="0"/>
          <w:sz w:val="32"/>
          <w:szCs w:val="32"/>
        </w:rPr>
        <w:t>附件</w:t>
      </w:r>
      <w:bookmarkStart w:id="72" w:name="_Toc76938468"/>
      <w:r>
        <w:rPr>
          <w:rFonts w:hint="eastAsia" w:cs="Times New Roman"/>
          <w:b w:val="0"/>
          <w:bCs w:val="0"/>
          <w:sz w:val="32"/>
          <w:szCs w:val="32"/>
        </w:rPr>
        <w:t>绵竹市2</w:t>
      </w:r>
      <w:r>
        <w:rPr>
          <w:rFonts w:cs="Times New Roman"/>
          <w:b w:val="0"/>
          <w:bCs w:val="0"/>
          <w:sz w:val="32"/>
          <w:szCs w:val="32"/>
        </w:rPr>
        <w:t>020</w:t>
      </w:r>
      <w:r>
        <w:rPr>
          <w:rFonts w:hint="eastAsia" w:cs="Times New Roman"/>
          <w:b w:val="0"/>
          <w:bCs w:val="0"/>
          <w:sz w:val="32"/>
          <w:szCs w:val="32"/>
        </w:rPr>
        <w:t>年自然资源和规划局部门整体支出绩效评价指标</w:t>
      </w:r>
      <w:bookmarkEnd w:id="72"/>
      <w:r>
        <w:rPr>
          <w:rFonts w:hint="eastAsia" w:cs="Times New Roman"/>
          <w:b w:val="0"/>
          <w:bCs w:val="0"/>
          <w:sz w:val="32"/>
          <w:szCs w:val="32"/>
        </w:rPr>
        <w:t>得分表</w:t>
      </w:r>
      <w:bookmarkEnd w:id="71"/>
    </w:p>
    <w:tbl>
      <w:tblPr>
        <w:tblStyle w:val="22"/>
        <w:tblW w:w="13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6"/>
        <w:gridCol w:w="598"/>
        <w:gridCol w:w="903"/>
        <w:gridCol w:w="526"/>
        <w:gridCol w:w="1040"/>
        <w:gridCol w:w="3947"/>
        <w:gridCol w:w="1286"/>
        <w:gridCol w:w="855"/>
        <w:gridCol w:w="880"/>
        <w:gridCol w:w="3292"/>
      </w:tblGrid>
      <w:tr w14:paraId="0B060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blHeader/>
          <w:jc w:val="center"/>
        </w:trPr>
        <w:tc>
          <w:tcPr>
            <w:tcW w:w="2643" w:type="dxa"/>
            <w:gridSpan w:val="4"/>
            <w:shd w:val="clear" w:color="000000" w:fill="00516B"/>
            <w:vAlign w:val="center"/>
          </w:tcPr>
          <w:p w14:paraId="7C08A856">
            <w:pPr>
              <w:widowControl/>
              <w:spacing w:line="240" w:lineRule="auto"/>
              <w:ind w:firstLine="0" w:firstLineChars="0"/>
              <w:jc w:val="center"/>
              <w:rPr>
                <w:rFonts w:eastAsia="宋体" w:cs="Times New Roman"/>
                <w:b/>
                <w:bCs/>
                <w:color w:val="FFFFFF"/>
                <w:kern w:val="0"/>
                <w:sz w:val="20"/>
                <w:szCs w:val="20"/>
              </w:rPr>
            </w:pPr>
            <w:r>
              <w:rPr>
                <w:rFonts w:eastAsia="宋体" w:cs="Times New Roman"/>
                <w:b/>
                <w:bCs/>
                <w:color w:val="FFFFFF"/>
                <w:kern w:val="0"/>
                <w:sz w:val="20"/>
                <w:szCs w:val="20"/>
              </w:rPr>
              <w:t>评价指标</w:t>
            </w:r>
          </w:p>
        </w:tc>
        <w:tc>
          <w:tcPr>
            <w:tcW w:w="1040" w:type="dxa"/>
            <w:vMerge w:val="restart"/>
            <w:shd w:val="clear" w:color="000000" w:fill="00516B"/>
            <w:noWrap/>
            <w:vAlign w:val="center"/>
          </w:tcPr>
          <w:p w14:paraId="732EF1D0">
            <w:pPr>
              <w:widowControl/>
              <w:spacing w:line="240" w:lineRule="auto"/>
              <w:ind w:firstLine="0" w:firstLineChars="0"/>
              <w:jc w:val="center"/>
              <w:rPr>
                <w:rFonts w:eastAsia="宋体" w:cs="Times New Roman"/>
                <w:b/>
                <w:bCs/>
                <w:color w:val="FFFFFF"/>
                <w:kern w:val="0"/>
                <w:sz w:val="20"/>
                <w:szCs w:val="20"/>
              </w:rPr>
            </w:pPr>
            <w:r>
              <w:rPr>
                <w:rFonts w:eastAsia="宋体" w:cs="Times New Roman"/>
                <w:b/>
                <w:bCs/>
                <w:color w:val="FFFFFF"/>
                <w:kern w:val="0"/>
                <w:sz w:val="20"/>
                <w:szCs w:val="20"/>
              </w:rPr>
              <w:t>指标解释</w:t>
            </w:r>
          </w:p>
        </w:tc>
        <w:tc>
          <w:tcPr>
            <w:tcW w:w="3947" w:type="dxa"/>
            <w:vMerge w:val="restart"/>
            <w:shd w:val="clear" w:color="000000" w:fill="00516B"/>
            <w:noWrap/>
            <w:vAlign w:val="center"/>
          </w:tcPr>
          <w:p w14:paraId="6AFF9B17">
            <w:pPr>
              <w:widowControl/>
              <w:spacing w:line="240" w:lineRule="auto"/>
              <w:ind w:firstLine="0" w:firstLineChars="0"/>
              <w:jc w:val="center"/>
              <w:rPr>
                <w:rFonts w:eastAsia="宋体" w:cs="Times New Roman"/>
                <w:b/>
                <w:bCs/>
                <w:color w:val="FFFFFF"/>
                <w:kern w:val="0"/>
                <w:sz w:val="20"/>
                <w:szCs w:val="20"/>
              </w:rPr>
            </w:pPr>
            <w:r>
              <w:rPr>
                <w:rFonts w:eastAsia="宋体" w:cs="Times New Roman"/>
                <w:b/>
                <w:bCs/>
                <w:color w:val="FFFFFF"/>
                <w:kern w:val="0"/>
                <w:sz w:val="20"/>
                <w:szCs w:val="20"/>
              </w:rPr>
              <w:t>评分标准</w:t>
            </w:r>
          </w:p>
        </w:tc>
        <w:tc>
          <w:tcPr>
            <w:tcW w:w="1286" w:type="dxa"/>
            <w:vMerge w:val="restart"/>
            <w:shd w:val="clear" w:color="auto" w:fill="00516B"/>
            <w:noWrap/>
            <w:vAlign w:val="center"/>
          </w:tcPr>
          <w:p w14:paraId="6AEDBC29">
            <w:pPr>
              <w:widowControl/>
              <w:spacing w:line="240" w:lineRule="auto"/>
              <w:ind w:firstLine="0" w:firstLineChars="0"/>
              <w:jc w:val="center"/>
              <w:rPr>
                <w:rFonts w:eastAsia="宋体" w:cs="Times New Roman"/>
                <w:b/>
                <w:bCs/>
                <w:color w:val="FFFFFF"/>
                <w:kern w:val="0"/>
                <w:sz w:val="20"/>
                <w:szCs w:val="20"/>
              </w:rPr>
            </w:pPr>
            <w:r>
              <w:rPr>
                <w:rFonts w:eastAsia="宋体" w:cs="Times New Roman"/>
                <w:b/>
                <w:bCs/>
                <w:color w:val="FFFFFF"/>
                <w:kern w:val="0"/>
                <w:sz w:val="20"/>
                <w:szCs w:val="20"/>
              </w:rPr>
              <w:t>评价依据</w:t>
            </w:r>
          </w:p>
        </w:tc>
        <w:tc>
          <w:tcPr>
            <w:tcW w:w="855" w:type="dxa"/>
            <w:vMerge w:val="restart"/>
            <w:shd w:val="clear" w:color="auto" w:fill="00516B"/>
            <w:noWrap/>
            <w:vAlign w:val="center"/>
          </w:tcPr>
          <w:p w14:paraId="3D586602">
            <w:pPr>
              <w:widowControl/>
              <w:spacing w:line="240" w:lineRule="auto"/>
              <w:ind w:firstLine="0" w:firstLineChars="0"/>
              <w:jc w:val="center"/>
              <w:rPr>
                <w:rFonts w:eastAsia="宋体" w:cs="Times New Roman"/>
                <w:b/>
                <w:bCs/>
                <w:color w:val="FFFFFF"/>
                <w:kern w:val="0"/>
                <w:sz w:val="20"/>
                <w:szCs w:val="20"/>
              </w:rPr>
            </w:pPr>
            <w:r>
              <w:rPr>
                <w:rFonts w:eastAsia="宋体" w:cs="Times New Roman"/>
                <w:b/>
                <w:bCs/>
                <w:color w:val="FFFFFF"/>
                <w:kern w:val="0"/>
                <w:sz w:val="20"/>
                <w:szCs w:val="20"/>
              </w:rPr>
              <w:t>得分</w:t>
            </w:r>
          </w:p>
        </w:tc>
        <w:tc>
          <w:tcPr>
            <w:tcW w:w="880" w:type="dxa"/>
            <w:vMerge w:val="restart"/>
            <w:shd w:val="clear" w:color="auto" w:fill="00516B"/>
            <w:vAlign w:val="center"/>
          </w:tcPr>
          <w:p w14:paraId="034E30F9">
            <w:pPr>
              <w:spacing w:line="240" w:lineRule="auto"/>
              <w:ind w:firstLine="0" w:firstLineChars="0"/>
              <w:rPr>
                <w:rFonts w:eastAsia="宋体" w:cs="Times New Roman"/>
                <w:b/>
                <w:bCs/>
                <w:color w:val="FFFFFF"/>
                <w:kern w:val="0"/>
                <w:sz w:val="20"/>
                <w:szCs w:val="20"/>
              </w:rPr>
            </w:pPr>
            <w:r>
              <w:rPr>
                <w:rFonts w:hint="eastAsia" w:eastAsia="宋体" w:cs="Times New Roman"/>
                <w:b/>
                <w:bCs/>
                <w:color w:val="FFFFFF"/>
                <w:kern w:val="0"/>
                <w:sz w:val="20"/>
                <w:szCs w:val="20"/>
              </w:rPr>
              <w:t>得分率</w:t>
            </w:r>
          </w:p>
        </w:tc>
        <w:tc>
          <w:tcPr>
            <w:tcW w:w="3292" w:type="dxa"/>
            <w:vMerge w:val="restart"/>
            <w:shd w:val="clear" w:color="auto" w:fill="00516B"/>
            <w:vAlign w:val="center"/>
          </w:tcPr>
          <w:p w14:paraId="69B9768E">
            <w:pPr>
              <w:widowControl/>
              <w:spacing w:line="240" w:lineRule="auto"/>
              <w:ind w:firstLine="0" w:firstLineChars="0"/>
              <w:jc w:val="center"/>
              <w:rPr>
                <w:rFonts w:eastAsia="宋体" w:cs="Times New Roman"/>
                <w:b/>
                <w:bCs/>
                <w:color w:val="FFFFFF"/>
                <w:kern w:val="0"/>
                <w:sz w:val="20"/>
                <w:szCs w:val="20"/>
              </w:rPr>
            </w:pPr>
            <w:r>
              <w:rPr>
                <w:rFonts w:eastAsia="宋体" w:cs="Times New Roman"/>
                <w:b/>
                <w:bCs/>
                <w:color w:val="FFFFFF"/>
                <w:kern w:val="0"/>
                <w:sz w:val="20"/>
                <w:szCs w:val="20"/>
              </w:rPr>
              <w:t>得分/扣分依据</w:t>
            </w:r>
          </w:p>
        </w:tc>
      </w:tr>
      <w:tr w14:paraId="0F916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blHeader/>
          <w:jc w:val="center"/>
        </w:trPr>
        <w:tc>
          <w:tcPr>
            <w:tcW w:w="616" w:type="dxa"/>
            <w:shd w:val="clear" w:color="000000" w:fill="00516B"/>
            <w:vAlign w:val="center"/>
          </w:tcPr>
          <w:p w14:paraId="00F997B5">
            <w:pPr>
              <w:widowControl/>
              <w:spacing w:line="240" w:lineRule="auto"/>
              <w:ind w:firstLine="0" w:firstLineChars="0"/>
              <w:jc w:val="center"/>
              <w:rPr>
                <w:rFonts w:eastAsia="宋体" w:cs="Times New Roman"/>
                <w:b/>
                <w:bCs/>
                <w:color w:val="FFFFFF"/>
                <w:kern w:val="0"/>
                <w:sz w:val="20"/>
                <w:szCs w:val="20"/>
              </w:rPr>
            </w:pPr>
            <w:r>
              <w:rPr>
                <w:rFonts w:eastAsia="宋体" w:cs="Times New Roman"/>
                <w:b/>
                <w:bCs/>
                <w:color w:val="FFFFFF"/>
                <w:kern w:val="0"/>
                <w:sz w:val="20"/>
                <w:szCs w:val="20"/>
              </w:rPr>
              <w:t>一级指标</w:t>
            </w:r>
          </w:p>
        </w:tc>
        <w:tc>
          <w:tcPr>
            <w:tcW w:w="598" w:type="dxa"/>
            <w:shd w:val="clear" w:color="000000" w:fill="00516B"/>
            <w:noWrap/>
            <w:vAlign w:val="center"/>
          </w:tcPr>
          <w:p w14:paraId="023DA6AA">
            <w:pPr>
              <w:widowControl/>
              <w:spacing w:line="240" w:lineRule="auto"/>
              <w:ind w:firstLine="0" w:firstLineChars="0"/>
              <w:jc w:val="center"/>
              <w:rPr>
                <w:rFonts w:eastAsia="宋体" w:cs="Times New Roman"/>
                <w:b/>
                <w:bCs/>
                <w:color w:val="FFFFFF"/>
                <w:kern w:val="0"/>
                <w:sz w:val="20"/>
                <w:szCs w:val="20"/>
              </w:rPr>
            </w:pPr>
            <w:r>
              <w:rPr>
                <w:rFonts w:eastAsia="宋体" w:cs="Times New Roman"/>
                <w:b/>
                <w:bCs/>
                <w:color w:val="FFFFFF"/>
                <w:kern w:val="0"/>
                <w:sz w:val="20"/>
                <w:szCs w:val="20"/>
              </w:rPr>
              <w:t>二级指标</w:t>
            </w:r>
          </w:p>
        </w:tc>
        <w:tc>
          <w:tcPr>
            <w:tcW w:w="903" w:type="dxa"/>
            <w:shd w:val="clear" w:color="000000" w:fill="00516B"/>
            <w:noWrap/>
            <w:vAlign w:val="center"/>
          </w:tcPr>
          <w:p w14:paraId="122F8C2C">
            <w:pPr>
              <w:widowControl/>
              <w:spacing w:line="240" w:lineRule="auto"/>
              <w:ind w:firstLine="0" w:firstLineChars="0"/>
              <w:jc w:val="center"/>
              <w:rPr>
                <w:rFonts w:eastAsia="宋体" w:cs="Times New Roman"/>
                <w:b/>
                <w:bCs/>
                <w:color w:val="FFFFFF"/>
                <w:kern w:val="0"/>
                <w:sz w:val="20"/>
                <w:szCs w:val="20"/>
              </w:rPr>
            </w:pPr>
            <w:r>
              <w:rPr>
                <w:rFonts w:eastAsia="宋体" w:cs="Times New Roman"/>
                <w:b/>
                <w:bCs/>
                <w:color w:val="FFFFFF"/>
                <w:kern w:val="0"/>
                <w:sz w:val="20"/>
                <w:szCs w:val="20"/>
              </w:rPr>
              <w:t>三级指标</w:t>
            </w:r>
          </w:p>
        </w:tc>
        <w:tc>
          <w:tcPr>
            <w:tcW w:w="526" w:type="dxa"/>
            <w:shd w:val="clear" w:color="000000" w:fill="00516B"/>
            <w:vAlign w:val="center"/>
          </w:tcPr>
          <w:p w14:paraId="45212CBD">
            <w:pPr>
              <w:widowControl/>
              <w:spacing w:line="240" w:lineRule="auto"/>
              <w:ind w:firstLine="0" w:firstLineChars="0"/>
              <w:jc w:val="center"/>
              <w:rPr>
                <w:rFonts w:eastAsia="宋体" w:cs="Times New Roman"/>
                <w:b/>
                <w:bCs/>
                <w:color w:val="FFFFFF"/>
                <w:kern w:val="0"/>
                <w:sz w:val="20"/>
                <w:szCs w:val="20"/>
              </w:rPr>
            </w:pPr>
            <w:r>
              <w:rPr>
                <w:rFonts w:eastAsia="宋体" w:cs="Times New Roman"/>
                <w:b/>
                <w:bCs/>
                <w:color w:val="FFFFFF"/>
                <w:kern w:val="0"/>
                <w:sz w:val="20"/>
                <w:szCs w:val="20"/>
              </w:rPr>
              <w:t>分值</w:t>
            </w:r>
          </w:p>
        </w:tc>
        <w:tc>
          <w:tcPr>
            <w:tcW w:w="1040" w:type="dxa"/>
            <w:vMerge w:val="continue"/>
            <w:vAlign w:val="center"/>
          </w:tcPr>
          <w:p w14:paraId="24BE3B6C">
            <w:pPr>
              <w:widowControl/>
              <w:spacing w:line="240" w:lineRule="auto"/>
              <w:ind w:firstLine="0" w:firstLineChars="0"/>
              <w:jc w:val="center"/>
              <w:rPr>
                <w:rFonts w:eastAsia="宋体" w:cs="Times New Roman"/>
                <w:b/>
                <w:bCs/>
                <w:color w:val="FFFFFF"/>
                <w:kern w:val="0"/>
                <w:sz w:val="20"/>
                <w:szCs w:val="20"/>
              </w:rPr>
            </w:pPr>
          </w:p>
        </w:tc>
        <w:tc>
          <w:tcPr>
            <w:tcW w:w="3947" w:type="dxa"/>
            <w:vMerge w:val="continue"/>
            <w:vAlign w:val="center"/>
          </w:tcPr>
          <w:p w14:paraId="30FA577B">
            <w:pPr>
              <w:widowControl/>
              <w:spacing w:line="240" w:lineRule="auto"/>
              <w:ind w:firstLine="0" w:firstLineChars="0"/>
              <w:jc w:val="center"/>
              <w:rPr>
                <w:rFonts w:eastAsia="宋体" w:cs="Times New Roman"/>
                <w:b/>
                <w:bCs/>
                <w:color w:val="FFFFFF"/>
                <w:kern w:val="0"/>
                <w:sz w:val="20"/>
                <w:szCs w:val="20"/>
              </w:rPr>
            </w:pPr>
          </w:p>
        </w:tc>
        <w:tc>
          <w:tcPr>
            <w:tcW w:w="1286" w:type="dxa"/>
            <w:vMerge w:val="continue"/>
            <w:shd w:val="clear" w:color="auto" w:fill="00516B"/>
            <w:vAlign w:val="center"/>
          </w:tcPr>
          <w:p w14:paraId="0EFADAD6">
            <w:pPr>
              <w:widowControl/>
              <w:spacing w:line="240" w:lineRule="auto"/>
              <w:ind w:firstLine="0" w:firstLineChars="0"/>
              <w:jc w:val="center"/>
              <w:rPr>
                <w:rFonts w:eastAsia="宋体" w:cs="Times New Roman"/>
                <w:b/>
                <w:bCs/>
                <w:color w:val="FFFFFF"/>
                <w:kern w:val="0"/>
                <w:sz w:val="20"/>
                <w:szCs w:val="20"/>
              </w:rPr>
            </w:pPr>
          </w:p>
        </w:tc>
        <w:tc>
          <w:tcPr>
            <w:tcW w:w="855" w:type="dxa"/>
            <w:vMerge w:val="continue"/>
            <w:shd w:val="clear" w:color="auto" w:fill="00516B"/>
            <w:vAlign w:val="center"/>
          </w:tcPr>
          <w:p w14:paraId="48A9EC5A">
            <w:pPr>
              <w:widowControl/>
              <w:spacing w:line="240" w:lineRule="auto"/>
              <w:ind w:firstLine="0" w:firstLineChars="0"/>
              <w:jc w:val="center"/>
              <w:rPr>
                <w:rFonts w:eastAsia="宋体" w:cs="Times New Roman"/>
                <w:color w:val="000000"/>
                <w:kern w:val="0"/>
                <w:sz w:val="20"/>
                <w:szCs w:val="20"/>
              </w:rPr>
            </w:pPr>
          </w:p>
        </w:tc>
        <w:tc>
          <w:tcPr>
            <w:tcW w:w="880" w:type="dxa"/>
            <w:vMerge w:val="continue"/>
            <w:shd w:val="clear" w:color="auto" w:fill="00516B"/>
            <w:vAlign w:val="center"/>
          </w:tcPr>
          <w:p w14:paraId="39DD23C5">
            <w:pPr>
              <w:widowControl/>
              <w:spacing w:line="240" w:lineRule="auto"/>
              <w:ind w:firstLine="0" w:firstLineChars="0"/>
              <w:rPr>
                <w:rFonts w:eastAsia="宋体" w:cs="Times New Roman"/>
                <w:b/>
                <w:bCs/>
                <w:color w:val="FFFFFF"/>
                <w:kern w:val="0"/>
                <w:sz w:val="20"/>
                <w:szCs w:val="20"/>
              </w:rPr>
            </w:pPr>
          </w:p>
        </w:tc>
        <w:tc>
          <w:tcPr>
            <w:tcW w:w="3292" w:type="dxa"/>
            <w:vMerge w:val="continue"/>
            <w:shd w:val="clear" w:color="auto" w:fill="00516B"/>
            <w:vAlign w:val="center"/>
          </w:tcPr>
          <w:p w14:paraId="73B205B2">
            <w:pPr>
              <w:widowControl/>
              <w:spacing w:line="240" w:lineRule="auto"/>
              <w:ind w:firstLine="0" w:firstLineChars="0"/>
              <w:jc w:val="center"/>
              <w:rPr>
                <w:rFonts w:eastAsia="宋体" w:cs="Times New Roman"/>
                <w:color w:val="000000"/>
                <w:kern w:val="0"/>
                <w:sz w:val="20"/>
                <w:szCs w:val="20"/>
              </w:rPr>
            </w:pPr>
          </w:p>
        </w:tc>
      </w:tr>
      <w:tr w14:paraId="224BC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jc w:val="center"/>
        </w:trPr>
        <w:tc>
          <w:tcPr>
            <w:tcW w:w="616" w:type="dxa"/>
            <w:vMerge w:val="restart"/>
            <w:shd w:val="clear" w:color="auto" w:fill="auto"/>
            <w:vAlign w:val="center"/>
          </w:tcPr>
          <w:p w14:paraId="5774AEFC">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预算管理（10分）</w:t>
            </w:r>
          </w:p>
        </w:tc>
        <w:tc>
          <w:tcPr>
            <w:tcW w:w="598" w:type="dxa"/>
            <w:shd w:val="clear" w:color="auto" w:fill="auto"/>
            <w:noWrap/>
            <w:vAlign w:val="center"/>
          </w:tcPr>
          <w:p w14:paraId="3269EE49">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预算编制</w:t>
            </w:r>
          </w:p>
        </w:tc>
        <w:tc>
          <w:tcPr>
            <w:tcW w:w="903" w:type="dxa"/>
            <w:shd w:val="clear" w:color="auto" w:fill="auto"/>
            <w:vAlign w:val="center"/>
          </w:tcPr>
          <w:p w14:paraId="24E74036">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预算安排准确性</w:t>
            </w:r>
          </w:p>
        </w:tc>
        <w:tc>
          <w:tcPr>
            <w:tcW w:w="526" w:type="dxa"/>
            <w:shd w:val="clear" w:color="auto" w:fill="auto"/>
            <w:vAlign w:val="center"/>
          </w:tcPr>
          <w:p w14:paraId="56971B5A">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5</w:t>
            </w:r>
          </w:p>
        </w:tc>
        <w:tc>
          <w:tcPr>
            <w:tcW w:w="1040" w:type="dxa"/>
            <w:shd w:val="clear" w:color="auto" w:fill="auto"/>
            <w:vAlign w:val="center"/>
          </w:tcPr>
          <w:p w14:paraId="7E012D53">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反映部门（单位）年初预算安排的准确性</w:t>
            </w:r>
          </w:p>
        </w:tc>
        <w:tc>
          <w:tcPr>
            <w:tcW w:w="3947" w:type="dxa"/>
            <w:shd w:val="clear" w:color="auto" w:fill="auto"/>
            <w:vAlign w:val="center"/>
          </w:tcPr>
          <w:p w14:paraId="0E34BCFF">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指标得分=（预算资金总来源-中期评估调整取消资金-预算结余注销资金）/预算资金总来源*指标分值，预算资金总来源是指年初预算与执行中追加预算总和。</w:t>
            </w:r>
          </w:p>
        </w:tc>
        <w:tc>
          <w:tcPr>
            <w:tcW w:w="1286" w:type="dxa"/>
            <w:shd w:val="clear" w:color="auto" w:fill="auto"/>
            <w:vAlign w:val="center"/>
          </w:tcPr>
          <w:p w14:paraId="18432F39">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通过部门整体绩效评价报送材料</w:t>
            </w:r>
          </w:p>
        </w:tc>
        <w:tc>
          <w:tcPr>
            <w:tcW w:w="855" w:type="dxa"/>
            <w:shd w:val="clear" w:color="auto" w:fill="auto"/>
            <w:vAlign w:val="center"/>
          </w:tcPr>
          <w:p w14:paraId="6477541A">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4.95</w:t>
            </w:r>
          </w:p>
        </w:tc>
        <w:tc>
          <w:tcPr>
            <w:tcW w:w="880" w:type="dxa"/>
            <w:vAlign w:val="center"/>
          </w:tcPr>
          <w:p w14:paraId="50E264B4">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98.94%</w:t>
            </w:r>
          </w:p>
        </w:tc>
        <w:tc>
          <w:tcPr>
            <w:tcW w:w="3292" w:type="dxa"/>
            <w:vAlign w:val="center"/>
          </w:tcPr>
          <w:p w14:paraId="183E1F84">
            <w:pPr>
              <w:widowControl/>
              <w:spacing w:line="240" w:lineRule="auto"/>
              <w:ind w:firstLine="0" w:firstLineChars="0"/>
              <w:jc w:val="left"/>
              <w:rPr>
                <w:rFonts w:eastAsia="宋体" w:cs="Times New Roman"/>
                <w:color w:val="000000"/>
                <w:kern w:val="0"/>
                <w:sz w:val="20"/>
                <w:szCs w:val="20"/>
              </w:rPr>
            </w:pPr>
            <w:r>
              <w:rPr>
                <w:rFonts w:hint="eastAsia" w:eastAsia="宋体" w:cs="Times New Roman"/>
                <w:color w:val="000000"/>
                <w:kern w:val="0"/>
                <w:sz w:val="20"/>
                <w:szCs w:val="20"/>
              </w:rPr>
              <w:t>根据预决算表，（</w:t>
            </w:r>
            <w:r>
              <w:rPr>
                <w:rFonts w:eastAsia="宋体" w:cs="Times New Roman"/>
                <w:color w:val="000000"/>
                <w:kern w:val="0"/>
                <w:sz w:val="20"/>
                <w:szCs w:val="20"/>
              </w:rPr>
              <w:t>65235.71-693.22-0</w:t>
            </w:r>
            <w:r>
              <w:rPr>
                <w:rFonts w:hint="eastAsia" w:eastAsia="宋体" w:cs="Times New Roman"/>
                <w:color w:val="000000"/>
                <w:kern w:val="0"/>
                <w:sz w:val="20"/>
                <w:szCs w:val="20"/>
              </w:rPr>
              <w:t>）</w:t>
            </w:r>
            <w:r>
              <w:rPr>
                <w:rFonts w:eastAsia="宋体" w:cs="Times New Roman"/>
                <w:color w:val="000000"/>
                <w:kern w:val="0"/>
                <w:sz w:val="20"/>
                <w:szCs w:val="20"/>
              </w:rPr>
              <w:t>/65235</w:t>
            </w:r>
            <w:r>
              <w:rPr>
                <w:rFonts w:hint="eastAsia" w:eastAsia="宋体" w:cs="Times New Roman"/>
                <w:color w:val="000000"/>
                <w:kern w:val="0"/>
                <w:sz w:val="20"/>
                <w:szCs w:val="20"/>
              </w:rPr>
              <w:t>.</w:t>
            </w:r>
            <w:r>
              <w:rPr>
                <w:rFonts w:eastAsia="宋体" w:cs="Times New Roman"/>
                <w:color w:val="000000"/>
                <w:kern w:val="0"/>
                <w:sz w:val="20"/>
                <w:szCs w:val="20"/>
              </w:rPr>
              <w:t>71*5分=4.95</w:t>
            </w:r>
            <w:r>
              <w:rPr>
                <w:rFonts w:hint="eastAsia" w:eastAsia="宋体" w:cs="Times New Roman"/>
                <w:color w:val="000000"/>
                <w:kern w:val="0"/>
                <w:sz w:val="20"/>
                <w:szCs w:val="20"/>
              </w:rPr>
              <w:t>分</w:t>
            </w:r>
          </w:p>
        </w:tc>
      </w:tr>
      <w:tr w14:paraId="278FD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7" w:hRule="atLeast"/>
          <w:jc w:val="center"/>
        </w:trPr>
        <w:tc>
          <w:tcPr>
            <w:tcW w:w="616" w:type="dxa"/>
            <w:vMerge w:val="continue"/>
            <w:vAlign w:val="center"/>
          </w:tcPr>
          <w:p w14:paraId="4F484E76">
            <w:pPr>
              <w:widowControl/>
              <w:spacing w:line="240" w:lineRule="auto"/>
              <w:ind w:firstLine="0" w:firstLineChars="0"/>
              <w:jc w:val="center"/>
              <w:rPr>
                <w:rFonts w:eastAsia="宋体" w:cs="Times New Roman"/>
                <w:color w:val="000000"/>
                <w:kern w:val="0"/>
                <w:sz w:val="20"/>
                <w:szCs w:val="20"/>
              </w:rPr>
            </w:pPr>
          </w:p>
        </w:tc>
        <w:tc>
          <w:tcPr>
            <w:tcW w:w="598" w:type="dxa"/>
            <w:shd w:val="clear" w:color="auto" w:fill="auto"/>
            <w:noWrap/>
            <w:vAlign w:val="center"/>
          </w:tcPr>
          <w:p w14:paraId="23F6D2DF">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执行进度</w:t>
            </w:r>
          </w:p>
        </w:tc>
        <w:tc>
          <w:tcPr>
            <w:tcW w:w="903" w:type="dxa"/>
            <w:shd w:val="clear" w:color="auto" w:fill="auto"/>
            <w:vAlign w:val="center"/>
          </w:tcPr>
          <w:p w14:paraId="4F046BDC">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部门总体执行进度</w:t>
            </w:r>
          </w:p>
        </w:tc>
        <w:tc>
          <w:tcPr>
            <w:tcW w:w="526" w:type="dxa"/>
            <w:shd w:val="clear" w:color="auto" w:fill="auto"/>
            <w:vAlign w:val="center"/>
          </w:tcPr>
          <w:p w14:paraId="77AAAF42">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5</w:t>
            </w:r>
          </w:p>
        </w:tc>
        <w:tc>
          <w:tcPr>
            <w:tcW w:w="1040" w:type="dxa"/>
            <w:shd w:val="clear" w:color="auto" w:fill="auto"/>
            <w:vAlign w:val="center"/>
          </w:tcPr>
          <w:p w14:paraId="6A127D19">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部门（单位）按要求严格预算管理</w:t>
            </w:r>
          </w:p>
        </w:tc>
        <w:tc>
          <w:tcPr>
            <w:tcW w:w="3947" w:type="dxa"/>
            <w:shd w:val="clear" w:color="auto" w:fill="auto"/>
            <w:vAlign w:val="center"/>
          </w:tcPr>
          <w:p w14:paraId="62560750">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部门总体执行进度达96%以上，不扣分；达92%以上，按80%打分；达88%以上，按60%打分；未达到88%，不得分。部门总体执行进度=财政拨款执行数÷财政拨款调整预算数</w:t>
            </w:r>
            <w:r>
              <w:rPr>
                <w:rFonts w:hint="eastAsia" w:eastAsia="宋体" w:cs="Times New Roman"/>
                <w:color w:val="000000"/>
                <w:kern w:val="0"/>
                <w:sz w:val="20"/>
                <w:szCs w:val="20"/>
              </w:rPr>
              <w:t>。</w:t>
            </w:r>
          </w:p>
        </w:tc>
        <w:tc>
          <w:tcPr>
            <w:tcW w:w="1286" w:type="dxa"/>
            <w:shd w:val="clear" w:color="auto" w:fill="auto"/>
            <w:vAlign w:val="center"/>
          </w:tcPr>
          <w:p w14:paraId="19638319">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部门决算报表</w:t>
            </w:r>
          </w:p>
        </w:tc>
        <w:tc>
          <w:tcPr>
            <w:tcW w:w="855" w:type="dxa"/>
            <w:shd w:val="clear" w:color="auto" w:fill="auto"/>
            <w:vAlign w:val="center"/>
          </w:tcPr>
          <w:p w14:paraId="19A9134D">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5</w:t>
            </w:r>
            <w:r>
              <w:rPr>
                <w:rFonts w:hint="eastAsia" w:eastAsia="宋体" w:cs="Times New Roman"/>
                <w:color w:val="000000"/>
                <w:kern w:val="0"/>
                <w:sz w:val="20"/>
                <w:szCs w:val="20"/>
              </w:rPr>
              <w:t>.</w:t>
            </w:r>
            <w:r>
              <w:rPr>
                <w:rFonts w:eastAsia="宋体" w:cs="Times New Roman"/>
                <w:color w:val="000000"/>
                <w:kern w:val="0"/>
                <w:sz w:val="20"/>
                <w:szCs w:val="20"/>
              </w:rPr>
              <w:t>00</w:t>
            </w:r>
          </w:p>
        </w:tc>
        <w:tc>
          <w:tcPr>
            <w:tcW w:w="880" w:type="dxa"/>
            <w:vAlign w:val="center"/>
          </w:tcPr>
          <w:p w14:paraId="065633D0">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100%</w:t>
            </w:r>
          </w:p>
        </w:tc>
        <w:tc>
          <w:tcPr>
            <w:tcW w:w="3292" w:type="dxa"/>
            <w:vAlign w:val="center"/>
          </w:tcPr>
          <w:p w14:paraId="340E66F0">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部门整体执行进度=100%</w:t>
            </w:r>
          </w:p>
        </w:tc>
      </w:tr>
      <w:tr w14:paraId="2A1F3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jc w:val="center"/>
        </w:trPr>
        <w:tc>
          <w:tcPr>
            <w:tcW w:w="616" w:type="dxa"/>
            <w:vMerge w:val="restart"/>
            <w:shd w:val="clear" w:color="auto" w:fill="auto"/>
            <w:vAlign w:val="center"/>
          </w:tcPr>
          <w:p w14:paraId="553B036A">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目标管理（10分）</w:t>
            </w:r>
          </w:p>
        </w:tc>
        <w:tc>
          <w:tcPr>
            <w:tcW w:w="598" w:type="dxa"/>
            <w:vMerge w:val="restart"/>
            <w:shd w:val="clear" w:color="auto" w:fill="auto"/>
            <w:noWrap/>
            <w:vAlign w:val="center"/>
          </w:tcPr>
          <w:p w14:paraId="53FECC3A">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绩效目标</w:t>
            </w:r>
          </w:p>
        </w:tc>
        <w:tc>
          <w:tcPr>
            <w:tcW w:w="903" w:type="dxa"/>
            <w:shd w:val="clear" w:color="auto" w:fill="auto"/>
            <w:noWrap/>
            <w:vAlign w:val="center"/>
          </w:tcPr>
          <w:p w14:paraId="70EDBB4A">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目标填报</w:t>
            </w:r>
          </w:p>
        </w:tc>
        <w:tc>
          <w:tcPr>
            <w:tcW w:w="526" w:type="dxa"/>
            <w:shd w:val="clear" w:color="auto" w:fill="auto"/>
            <w:vAlign w:val="center"/>
          </w:tcPr>
          <w:p w14:paraId="6B36E723">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2</w:t>
            </w:r>
          </w:p>
        </w:tc>
        <w:tc>
          <w:tcPr>
            <w:tcW w:w="1040" w:type="dxa"/>
            <w:shd w:val="clear" w:color="auto" w:fill="auto"/>
            <w:vAlign w:val="center"/>
          </w:tcPr>
          <w:p w14:paraId="344E213A">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考核部门是否按要求编制专项资金、部门专项类项目绩效目标</w:t>
            </w:r>
          </w:p>
        </w:tc>
        <w:tc>
          <w:tcPr>
            <w:tcW w:w="3947" w:type="dxa"/>
            <w:shd w:val="clear" w:color="auto" w:fill="auto"/>
            <w:vAlign w:val="center"/>
          </w:tcPr>
          <w:p w14:paraId="345D7D1F">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应编制绩效目标的专项类项目、专项资金未按要求申报绩效目标，发现1个项目扣0.5分；填报内容不规范，发现1处扣0.5分</w:t>
            </w:r>
            <w:r>
              <w:rPr>
                <w:rFonts w:hint="eastAsia" w:eastAsia="宋体" w:cs="Times New Roman"/>
                <w:color w:val="000000"/>
                <w:kern w:val="0"/>
                <w:sz w:val="20"/>
                <w:szCs w:val="20"/>
              </w:rPr>
              <w:t>，</w:t>
            </w:r>
            <w:r>
              <w:rPr>
                <w:rFonts w:eastAsia="宋体" w:cs="Times New Roman"/>
                <w:color w:val="000000"/>
                <w:kern w:val="0"/>
                <w:sz w:val="20"/>
                <w:szCs w:val="20"/>
              </w:rPr>
              <w:t>直至扣完。</w:t>
            </w:r>
          </w:p>
        </w:tc>
        <w:tc>
          <w:tcPr>
            <w:tcW w:w="1286" w:type="dxa"/>
            <w:shd w:val="clear" w:color="auto" w:fill="auto"/>
            <w:vAlign w:val="center"/>
          </w:tcPr>
          <w:p w14:paraId="0195D9F2">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部门整体绩效评价材料（各项目入库申报表）报送</w:t>
            </w:r>
          </w:p>
        </w:tc>
        <w:tc>
          <w:tcPr>
            <w:tcW w:w="855" w:type="dxa"/>
            <w:shd w:val="clear" w:color="auto" w:fill="auto"/>
            <w:vAlign w:val="center"/>
          </w:tcPr>
          <w:p w14:paraId="6CD6B78F">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1.00</w:t>
            </w:r>
          </w:p>
        </w:tc>
        <w:tc>
          <w:tcPr>
            <w:tcW w:w="880" w:type="dxa"/>
            <w:vAlign w:val="center"/>
          </w:tcPr>
          <w:p w14:paraId="044CCDF5">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50%</w:t>
            </w:r>
          </w:p>
        </w:tc>
        <w:tc>
          <w:tcPr>
            <w:tcW w:w="3292" w:type="dxa"/>
            <w:shd w:val="clear" w:color="auto" w:fill="auto"/>
            <w:vAlign w:val="center"/>
          </w:tcPr>
          <w:p w14:paraId="1185E954">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应编制绩效目标的专项类项目、专项资金按要求申报绩效目标；</w:t>
            </w:r>
          </w:p>
          <w:p w14:paraId="5954ED44">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“绵竹市不动产登记信息系统及数据整合项目”时效指标为“2017年11月30日前”；“不动产运行及业务工作费”的数量指标“临聘人员工资、保险、资金等”，指标值为“25人”</w:t>
            </w:r>
          </w:p>
        </w:tc>
      </w:tr>
      <w:tr w14:paraId="285B1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jc w:val="center"/>
        </w:trPr>
        <w:tc>
          <w:tcPr>
            <w:tcW w:w="616" w:type="dxa"/>
            <w:vMerge w:val="continue"/>
            <w:vAlign w:val="center"/>
          </w:tcPr>
          <w:p w14:paraId="0B2434D2">
            <w:pPr>
              <w:widowControl/>
              <w:spacing w:line="240" w:lineRule="auto"/>
              <w:ind w:firstLine="0" w:firstLineChars="0"/>
              <w:jc w:val="center"/>
              <w:rPr>
                <w:rFonts w:eastAsia="宋体" w:cs="Times New Roman"/>
                <w:color w:val="000000"/>
                <w:kern w:val="0"/>
                <w:sz w:val="20"/>
                <w:szCs w:val="20"/>
              </w:rPr>
            </w:pPr>
          </w:p>
        </w:tc>
        <w:tc>
          <w:tcPr>
            <w:tcW w:w="598" w:type="dxa"/>
            <w:vMerge w:val="continue"/>
            <w:vAlign w:val="center"/>
          </w:tcPr>
          <w:p w14:paraId="070B21E7">
            <w:pPr>
              <w:widowControl/>
              <w:spacing w:line="240" w:lineRule="auto"/>
              <w:ind w:firstLine="0" w:firstLineChars="0"/>
              <w:jc w:val="center"/>
              <w:rPr>
                <w:rFonts w:eastAsia="宋体" w:cs="Times New Roman"/>
                <w:color w:val="000000"/>
                <w:kern w:val="0"/>
                <w:sz w:val="20"/>
                <w:szCs w:val="20"/>
              </w:rPr>
            </w:pPr>
          </w:p>
        </w:tc>
        <w:tc>
          <w:tcPr>
            <w:tcW w:w="903" w:type="dxa"/>
            <w:shd w:val="clear" w:color="auto" w:fill="auto"/>
            <w:noWrap/>
            <w:vAlign w:val="center"/>
          </w:tcPr>
          <w:p w14:paraId="51204494">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目标量化</w:t>
            </w:r>
          </w:p>
        </w:tc>
        <w:tc>
          <w:tcPr>
            <w:tcW w:w="526" w:type="dxa"/>
            <w:shd w:val="clear" w:color="auto" w:fill="auto"/>
            <w:vAlign w:val="center"/>
          </w:tcPr>
          <w:p w14:paraId="5DF3BB4E">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3</w:t>
            </w:r>
          </w:p>
        </w:tc>
        <w:tc>
          <w:tcPr>
            <w:tcW w:w="1040" w:type="dxa"/>
            <w:shd w:val="clear" w:color="auto" w:fill="auto"/>
            <w:vAlign w:val="center"/>
          </w:tcPr>
          <w:p w14:paraId="6A657B7F">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考核部门申报绩效目标的量化程度</w:t>
            </w:r>
          </w:p>
        </w:tc>
        <w:tc>
          <w:tcPr>
            <w:tcW w:w="3947" w:type="dxa"/>
            <w:shd w:val="clear" w:color="auto" w:fill="auto"/>
            <w:vAlign w:val="center"/>
          </w:tcPr>
          <w:p w14:paraId="523FA102">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专项类项目、专项资金设定的产出指标均应量化，效果指标中应至少50%以上量化指标。发现1个项目未达到要求扣0.5分，直至扣完。</w:t>
            </w:r>
          </w:p>
        </w:tc>
        <w:tc>
          <w:tcPr>
            <w:tcW w:w="1286" w:type="dxa"/>
            <w:shd w:val="clear" w:color="auto" w:fill="auto"/>
            <w:vAlign w:val="center"/>
          </w:tcPr>
          <w:p w14:paraId="6E10BCD0">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部门整体绩效评价材料（各项目入库申报表、各项目绩效自评表）报送</w:t>
            </w:r>
          </w:p>
        </w:tc>
        <w:tc>
          <w:tcPr>
            <w:tcW w:w="855" w:type="dxa"/>
            <w:shd w:val="clear" w:color="auto" w:fill="auto"/>
            <w:vAlign w:val="center"/>
          </w:tcPr>
          <w:p w14:paraId="132877C5">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0.00</w:t>
            </w:r>
          </w:p>
        </w:tc>
        <w:tc>
          <w:tcPr>
            <w:tcW w:w="880" w:type="dxa"/>
            <w:vAlign w:val="center"/>
          </w:tcPr>
          <w:p w14:paraId="12876BF4">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0%</w:t>
            </w:r>
          </w:p>
        </w:tc>
        <w:tc>
          <w:tcPr>
            <w:tcW w:w="3292" w:type="dxa"/>
            <w:shd w:val="clear" w:color="auto" w:fill="auto"/>
            <w:vAlign w:val="center"/>
          </w:tcPr>
          <w:p w14:paraId="704529A2">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54个项目效果指标均未达到50%的量化要求</w:t>
            </w:r>
          </w:p>
        </w:tc>
      </w:tr>
      <w:tr w14:paraId="71E75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616" w:type="dxa"/>
            <w:vMerge w:val="continue"/>
            <w:vAlign w:val="center"/>
          </w:tcPr>
          <w:p w14:paraId="4A5A41FE">
            <w:pPr>
              <w:widowControl/>
              <w:spacing w:line="240" w:lineRule="auto"/>
              <w:ind w:firstLine="0" w:firstLineChars="0"/>
              <w:jc w:val="center"/>
              <w:rPr>
                <w:rFonts w:eastAsia="宋体" w:cs="Times New Roman"/>
                <w:color w:val="000000"/>
                <w:kern w:val="0"/>
                <w:sz w:val="20"/>
                <w:szCs w:val="20"/>
              </w:rPr>
            </w:pPr>
          </w:p>
        </w:tc>
        <w:tc>
          <w:tcPr>
            <w:tcW w:w="598" w:type="dxa"/>
            <w:vMerge w:val="continue"/>
            <w:vAlign w:val="center"/>
          </w:tcPr>
          <w:p w14:paraId="03A27CB4">
            <w:pPr>
              <w:widowControl/>
              <w:spacing w:line="240" w:lineRule="auto"/>
              <w:ind w:firstLine="0" w:firstLineChars="0"/>
              <w:jc w:val="center"/>
              <w:rPr>
                <w:rFonts w:eastAsia="宋体" w:cs="Times New Roman"/>
                <w:color w:val="000000"/>
                <w:kern w:val="0"/>
                <w:sz w:val="20"/>
                <w:szCs w:val="20"/>
              </w:rPr>
            </w:pPr>
          </w:p>
        </w:tc>
        <w:tc>
          <w:tcPr>
            <w:tcW w:w="903" w:type="dxa"/>
            <w:shd w:val="clear" w:color="auto" w:fill="auto"/>
            <w:noWrap/>
            <w:vAlign w:val="center"/>
          </w:tcPr>
          <w:p w14:paraId="0B96A730">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目标匹配</w:t>
            </w:r>
          </w:p>
        </w:tc>
        <w:tc>
          <w:tcPr>
            <w:tcW w:w="526" w:type="dxa"/>
            <w:shd w:val="clear" w:color="auto" w:fill="auto"/>
            <w:vAlign w:val="center"/>
          </w:tcPr>
          <w:p w14:paraId="2D988CD8">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5</w:t>
            </w:r>
          </w:p>
        </w:tc>
        <w:tc>
          <w:tcPr>
            <w:tcW w:w="1040" w:type="dxa"/>
            <w:shd w:val="clear" w:color="auto" w:fill="auto"/>
            <w:vAlign w:val="center"/>
          </w:tcPr>
          <w:p w14:paraId="505FFAFB">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考核部门申报的绩效目标是否与部门职能职责相关</w:t>
            </w:r>
          </w:p>
        </w:tc>
        <w:tc>
          <w:tcPr>
            <w:tcW w:w="3947" w:type="dxa"/>
            <w:shd w:val="clear" w:color="auto" w:fill="auto"/>
            <w:vAlign w:val="center"/>
          </w:tcPr>
          <w:p w14:paraId="0D2C5816">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专项类项目、专项资金设定的绩效目标与部门职能职责不一致的，发现一个项目扣1分，直至扣完。</w:t>
            </w:r>
          </w:p>
        </w:tc>
        <w:tc>
          <w:tcPr>
            <w:tcW w:w="1286" w:type="dxa"/>
            <w:shd w:val="clear" w:color="auto" w:fill="auto"/>
            <w:vAlign w:val="center"/>
          </w:tcPr>
          <w:p w14:paraId="793C02DB">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部门整体绩效评价材料（各项目入库申报表、各项目绩效自评表）报送</w:t>
            </w:r>
          </w:p>
        </w:tc>
        <w:tc>
          <w:tcPr>
            <w:tcW w:w="855" w:type="dxa"/>
            <w:shd w:val="clear" w:color="auto" w:fill="auto"/>
            <w:vAlign w:val="center"/>
          </w:tcPr>
          <w:p w14:paraId="0E46749D">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5.00</w:t>
            </w:r>
          </w:p>
        </w:tc>
        <w:tc>
          <w:tcPr>
            <w:tcW w:w="880" w:type="dxa"/>
            <w:vAlign w:val="center"/>
          </w:tcPr>
          <w:p w14:paraId="3FF451A0">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100%</w:t>
            </w:r>
          </w:p>
        </w:tc>
        <w:tc>
          <w:tcPr>
            <w:tcW w:w="3292" w:type="dxa"/>
            <w:shd w:val="clear" w:color="auto" w:fill="auto"/>
            <w:vAlign w:val="center"/>
          </w:tcPr>
          <w:p w14:paraId="1AEC2F82">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54个专项类项目、专项资金设定的绩效目标与部门职能职责一致</w:t>
            </w:r>
          </w:p>
        </w:tc>
      </w:tr>
      <w:tr w14:paraId="68D18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0" w:hRule="atLeast"/>
          <w:jc w:val="center"/>
        </w:trPr>
        <w:tc>
          <w:tcPr>
            <w:tcW w:w="616" w:type="dxa"/>
            <w:vMerge w:val="restart"/>
            <w:shd w:val="clear" w:color="auto" w:fill="auto"/>
            <w:vAlign w:val="center"/>
          </w:tcPr>
          <w:p w14:paraId="527C8948">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部门管理（10分）</w:t>
            </w:r>
          </w:p>
        </w:tc>
        <w:tc>
          <w:tcPr>
            <w:tcW w:w="598" w:type="dxa"/>
            <w:vMerge w:val="restart"/>
            <w:shd w:val="clear" w:color="auto" w:fill="auto"/>
            <w:noWrap/>
            <w:vAlign w:val="center"/>
          </w:tcPr>
          <w:p w14:paraId="0EAB792F">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基础管理</w:t>
            </w:r>
          </w:p>
        </w:tc>
        <w:tc>
          <w:tcPr>
            <w:tcW w:w="903" w:type="dxa"/>
            <w:shd w:val="clear" w:color="auto" w:fill="auto"/>
            <w:vAlign w:val="center"/>
          </w:tcPr>
          <w:p w14:paraId="6354B45F">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管理制度健全性</w:t>
            </w:r>
          </w:p>
        </w:tc>
        <w:tc>
          <w:tcPr>
            <w:tcW w:w="526" w:type="dxa"/>
            <w:shd w:val="clear" w:color="auto" w:fill="auto"/>
            <w:vAlign w:val="center"/>
          </w:tcPr>
          <w:p w14:paraId="43989879">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1</w:t>
            </w:r>
          </w:p>
        </w:tc>
        <w:tc>
          <w:tcPr>
            <w:tcW w:w="1040" w:type="dxa"/>
            <w:shd w:val="clear" w:color="auto" w:fill="auto"/>
            <w:vAlign w:val="center"/>
          </w:tcPr>
          <w:p w14:paraId="501E2C61">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部门为加强预算管理、推进厉行节约、规范财务行为而制定的管理制度是否健全完整</w:t>
            </w:r>
          </w:p>
        </w:tc>
        <w:tc>
          <w:tcPr>
            <w:tcW w:w="3947" w:type="dxa"/>
            <w:shd w:val="clear" w:color="auto" w:fill="auto"/>
            <w:vAlign w:val="center"/>
          </w:tcPr>
          <w:p w14:paraId="30995796">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是否已制定或具有预算资金管理办法、厉行节约管理措施、内部财务管理制度、会计核算制度等管理制度；相关管理制度是否合法、合规、完整；相关管理制度是否得到有效执行。</w:t>
            </w:r>
          </w:p>
        </w:tc>
        <w:tc>
          <w:tcPr>
            <w:tcW w:w="1286" w:type="dxa"/>
            <w:shd w:val="clear" w:color="auto" w:fill="auto"/>
            <w:vAlign w:val="center"/>
          </w:tcPr>
          <w:p w14:paraId="05C1E0E0">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对比分析管理部门的管理制度文件</w:t>
            </w:r>
          </w:p>
        </w:tc>
        <w:tc>
          <w:tcPr>
            <w:tcW w:w="855" w:type="dxa"/>
            <w:shd w:val="clear" w:color="auto" w:fill="auto"/>
            <w:vAlign w:val="center"/>
          </w:tcPr>
          <w:p w14:paraId="79DC9A82">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0.00</w:t>
            </w:r>
          </w:p>
        </w:tc>
        <w:tc>
          <w:tcPr>
            <w:tcW w:w="880" w:type="dxa"/>
            <w:vAlign w:val="center"/>
          </w:tcPr>
          <w:p w14:paraId="1F2062B7">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0%</w:t>
            </w:r>
          </w:p>
        </w:tc>
        <w:tc>
          <w:tcPr>
            <w:tcW w:w="3292" w:type="dxa"/>
            <w:shd w:val="clear" w:color="auto" w:fill="auto"/>
            <w:vAlign w:val="center"/>
          </w:tcPr>
          <w:p w14:paraId="3877D921">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采用原国土资源局内部管理制度进行管理，未涵盖机构改革后的部门职能职责</w:t>
            </w:r>
            <w:r>
              <w:rPr>
                <w:rFonts w:hint="eastAsia" w:eastAsia="宋体" w:cs="Times New Roman"/>
                <w:color w:val="000000"/>
                <w:kern w:val="0"/>
                <w:sz w:val="20"/>
                <w:szCs w:val="20"/>
              </w:rPr>
              <w:t>。</w:t>
            </w:r>
          </w:p>
        </w:tc>
      </w:tr>
      <w:tr w14:paraId="19DB8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616" w:type="dxa"/>
            <w:vMerge w:val="continue"/>
            <w:vAlign w:val="center"/>
          </w:tcPr>
          <w:p w14:paraId="495681C1">
            <w:pPr>
              <w:widowControl/>
              <w:spacing w:line="240" w:lineRule="auto"/>
              <w:ind w:firstLine="0" w:firstLineChars="0"/>
              <w:jc w:val="center"/>
              <w:rPr>
                <w:rFonts w:eastAsia="宋体" w:cs="Times New Roman"/>
                <w:color w:val="000000"/>
                <w:kern w:val="0"/>
                <w:sz w:val="20"/>
                <w:szCs w:val="20"/>
              </w:rPr>
            </w:pPr>
          </w:p>
        </w:tc>
        <w:tc>
          <w:tcPr>
            <w:tcW w:w="598" w:type="dxa"/>
            <w:vMerge w:val="continue"/>
            <w:vAlign w:val="center"/>
          </w:tcPr>
          <w:p w14:paraId="16BC99BD">
            <w:pPr>
              <w:widowControl/>
              <w:spacing w:line="240" w:lineRule="auto"/>
              <w:ind w:firstLine="0" w:firstLineChars="0"/>
              <w:jc w:val="center"/>
              <w:rPr>
                <w:rFonts w:eastAsia="宋体" w:cs="Times New Roman"/>
                <w:color w:val="000000"/>
                <w:kern w:val="0"/>
                <w:sz w:val="20"/>
                <w:szCs w:val="20"/>
              </w:rPr>
            </w:pPr>
          </w:p>
        </w:tc>
        <w:tc>
          <w:tcPr>
            <w:tcW w:w="903" w:type="dxa"/>
            <w:shd w:val="clear" w:color="auto" w:fill="auto"/>
            <w:vAlign w:val="center"/>
          </w:tcPr>
          <w:p w14:paraId="5C62AC38">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资金使用合规性</w:t>
            </w:r>
          </w:p>
        </w:tc>
        <w:tc>
          <w:tcPr>
            <w:tcW w:w="526" w:type="dxa"/>
            <w:shd w:val="clear" w:color="auto" w:fill="auto"/>
            <w:vAlign w:val="center"/>
          </w:tcPr>
          <w:p w14:paraId="5075C1E6">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1</w:t>
            </w:r>
          </w:p>
        </w:tc>
        <w:tc>
          <w:tcPr>
            <w:tcW w:w="1040" w:type="dxa"/>
            <w:shd w:val="clear" w:color="auto" w:fill="auto"/>
            <w:vAlign w:val="center"/>
          </w:tcPr>
          <w:p w14:paraId="509C816D">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部门（单位）使用预算资金是否符合相关的预算财务管理制度的规定</w:t>
            </w:r>
          </w:p>
        </w:tc>
        <w:tc>
          <w:tcPr>
            <w:tcW w:w="3947" w:type="dxa"/>
            <w:shd w:val="clear" w:color="auto" w:fill="auto"/>
            <w:vAlign w:val="center"/>
          </w:tcPr>
          <w:p w14:paraId="1F1E0984">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是否符合国家财经法规和财务管理制度规定以及有关专项资金管理办法的规定；资金的拨付是否有完整的审批程序和手续；项目的重大开支是否经过评估论证；是否符合部门预算批复的用途；是否存在截留、挤占、挪用、虚列支出等情况。发现一个问题点扣0.25分。</w:t>
            </w:r>
          </w:p>
        </w:tc>
        <w:tc>
          <w:tcPr>
            <w:tcW w:w="1286" w:type="dxa"/>
            <w:shd w:val="clear" w:color="auto" w:fill="auto"/>
            <w:vAlign w:val="center"/>
          </w:tcPr>
          <w:p w14:paraId="5E5FDB67">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对比分析管理部门的资金管理文件、财务账目等文件</w:t>
            </w:r>
          </w:p>
        </w:tc>
        <w:tc>
          <w:tcPr>
            <w:tcW w:w="855" w:type="dxa"/>
            <w:shd w:val="clear" w:color="auto" w:fill="auto"/>
            <w:vAlign w:val="center"/>
          </w:tcPr>
          <w:p w14:paraId="1E70DF14">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1.00</w:t>
            </w:r>
          </w:p>
        </w:tc>
        <w:tc>
          <w:tcPr>
            <w:tcW w:w="880" w:type="dxa"/>
            <w:vAlign w:val="center"/>
          </w:tcPr>
          <w:p w14:paraId="6B2AC1E1">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100%</w:t>
            </w:r>
          </w:p>
        </w:tc>
        <w:tc>
          <w:tcPr>
            <w:tcW w:w="3292" w:type="dxa"/>
            <w:shd w:val="clear" w:color="auto" w:fill="auto"/>
            <w:vAlign w:val="center"/>
          </w:tcPr>
          <w:p w14:paraId="625CB6BE">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符合国家财经法规和财务管理制度规定以及有关专项资金管理办法的规定；资金的拨付有完整的审批程序和手续；项目的重大开支经过评估论证；符合部门预算批复的用途；未发现截留、挤占、挪用、虚列支出等情况</w:t>
            </w:r>
            <w:r>
              <w:rPr>
                <w:rFonts w:hint="eastAsia" w:eastAsia="宋体" w:cs="Times New Roman"/>
                <w:color w:val="000000"/>
                <w:kern w:val="0"/>
                <w:sz w:val="20"/>
                <w:szCs w:val="20"/>
              </w:rPr>
              <w:t>。</w:t>
            </w:r>
          </w:p>
        </w:tc>
      </w:tr>
      <w:tr w14:paraId="181B6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0" w:hRule="atLeast"/>
          <w:jc w:val="center"/>
        </w:trPr>
        <w:tc>
          <w:tcPr>
            <w:tcW w:w="616" w:type="dxa"/>
            <w:vMerge w:val="continue"/>
            <w:vAlign w:val="center"/>
          </w:tcPr>
          <w:p w14:paraId="15E3F92A">
            <w:pPr>
              <w:widowControl/>
              <w:spacing w:line="240" w:lineRule="auto"/>
              <w:ind w:firstLine="0" w:firstLineChars="0"/>
              <w:jc w:val="center"/>
              <w:rPr>
                <w:rFonts w:eastAsia="宋体" w:cs="Times New Roman"/>
                <w:color w:val="000000"/>
                <w:kern w:val="0"/>
                <w:sz w:val="20"/>
                <w:szCs w:val="20"/>
              </w:rPr>
            </w:pPr>
          </w:p>
        </w:tc>
        <w:tc>
          <w:tcPr>
            <w:tcW w:w="598" w:type="dxa"/>
            <w:vMerge w:val="continue"/>
            <w:vAlign w:val="center"/>
          </w:tcPr>
          <w:p w14:paraId="65DA6A97">
            <w:pPr>
              <w:widowControl/>
              <w:spacing w:line="240" w:lineRule="auto"/>
              <w:ind w:firstLine="0" w:firstLineChars="0"/>
              <w:jc w:val="center"/>
              <w:rPr>
                <w:rFonts w:eastAsia="宋体" w:cs="Times New Roman"/>
                <w:color w:val="000000"/>
                <w:kern w:val="0"/>
                <w:sz w:val="20"/>
                <w:szCs w:val="20"/>
              </w:rPr>
            </w:pPr>
          </w:p>
        </w:tc>
        <w:tc>
          <w:tcPr>
            <w:tcW w:w="903" w:type="dxa"/>
            <w:shd w:val="clear" w:color="auto" w:fill="auto"/>
            <w:vAlign w:val="center"/>
          </w:tcPr>
          <w:p w14:paraId="073814C0">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财务监控有效性</w:t>
            </w:r>
          </w:p>
        </w:tc>
        <w:tc>
          <w:tcPr>
            <w:tcW w:w="526" w:type="dxa"/>
            <w:shd w:val="clear" w:color="auto" w:fill="auto"/>
            <w:vAlign w:val="center"/>
          </w:tcPr>
          <w:p w14:paraId="0D80C0D3">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2</w:t>
            </w:r>
          </w:p>
        </w:tc>
        <w:tc>
          <w:tcPr>
            <w:tcW w:w="1040" w:type="dxa"/>
            <w:shd w:val="clear" w:color="auto" w:fill="auto"/>
            <w:vAlign w:val="center"/>
          </w:tcPr>
          <w:p w14:paraId="1F722589">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考察部门是否对部门内部、各所属单位，专项资金分配的区（市）县或项目实施主体进行工作监督和定期考核。</w:t>
            </w:r>
          </w:p>
        </w:tc>
        <w:tc>
          <w:tcPr>
            <w:tcW w:w="3947" w:type="dxa"/>
            <w:shd w:val="clear" w:color="auto" w:fill="auto"/>
            <w:vAlign w:val="center"/>
          </w:tcPr>
          <w:p w14:paraId="7916CC29">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对部门内部、下属单位、分配的专项资金</w:t>
            </w:r>
            <w:r>
              <w:rPr>
                <w:rFonts w:hint="eastAsia" w:ascii="宋体" w:hAnsi="宋体" w:eastAsia="宋体" w:cs="宋体"/>
                <w:color w:val="000000"/>
                <w:kern w:val="0"/>
                <w:sz w:val="20"/>
                <w:szCs w:val="20"/>
              </w:rPr>
              <w:t>①</w:t>
            </w:r>
            <w:r>
              <w:rPr>
                <w:rFonts w:eastAsia="宋体" w:cs="Times New Roman"/>
                <w:color w:val="000000"/>
                <w:kern w:val="0"/>
                <w:sz w:val="20"/>
                <w:szCs w:val="20"/>
              </w:rPr>
              <w:t>制定明确的财务监控监督措施，得1分；</w:t>
            </w:r>
            <w:r>
              <w:rPr>
                <w:rFonts w:hint="eastAsia" w:ascii="宋体" w:hAnsi="宋体" w:eastAsia="宋体" w:cs="宋体"/>
                <w:color w:val="000000"/>
                <w:kern w:val="0"/>
                <w:sz w:val="20"/>
                <w:szCs w:val="20"/>
              </w:rPr>
              <w:t>②</w:t>
            </w:r>
            <w:r>
              <w:rPr>
                <w:rFonts w:eastAsia="宋体" w:cs="Times New Roman"/>
                <w:color w:val="000000"/>
                <w:kern w:val="0"/>
                <w:sz w:val="20"/>
                <w:szCs w:val="20"/>
              </w:rPr>
              <w:t>监控、监督措施执行有效，得1分。</w:t>
            </w:r>
          </w:p>
        </w:tc>
        <w:tc>
          <w:tcPr>
            <w:tcW w:w="1286" w:type="dxa"/>
            <w:shd w:val="clear" w:color="auto" w:fill="auto"/>
            <w:vAlign w:val="center"/>
          </w:tcPr>
          <w:p w14:paraId="7AA34776">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对比分析管理部门的资金管理文件、财务账目等文件</w:t>
            </w:r>
          </w:p>
        </w:tc>
        <w:tc>
          <w:tcPr>
            <w:tcW w:w="855" w:type="dxa"/>
            <w:shd w:val="clear" w:color="auto" w:fill="auto"/>
            <w:vAlign w:val="center"/>
          </w:tcPr>
          <w:p w14:paraId="64F982C2">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1.00</w:t>
            </w:r>
          </w:p>
        </w:tc>
        <w:tc>
          <w:tcPr>
            <w:tcW w:w="880" w:type="dxa"/>
            <w:vAlign w:val="center"/>
          </w:tcPr>
          <w:p w14:paraId="531A4748">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50%</w:t>
            </w:r>
          </w:p>
        </w:tc>
        <w:tc>
          <w:tcPr>
            <w:tcW w:w="3292" w:type="dxa"/>
            <w:shd w:val="clear" w:color="auto" w:fill="auto"/>
            <w:vAlign w:val="center"/>
          </w:tcPr>
          <w:p w14:paraId="322D8A32">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采用原国土资源局财关管理制度进行财务管理，对资金的监控监督有效性有待提升</w:t>
            </w:r>
            <w:r>
              <w:rPr>
                <w:rFonts w:hint="eastAsia" w:eastAsia="宋体" w:cs="Times New Roman"/>
                <w:color w:val="000000"/>
                <w:kern w:val="0"/>
                <w:sz w:val="20"/>
                <w:szCs w:val="20"/>
              </w:rPr>
              <w:t>。</w:t>
            </w:r>
          </w:p>
        </w:tc>
      </w:tr>
      <w:tr w14:paraId="69197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16" w:type="dxa"/>
            <w:vMerge w:val="continue"/>
            <w:vAlign w:val="center"/>
          </w:tcPr>
          <w:p w14:paraId="6F8C1C66">
            <w:pPr>
              <w:widowControl/>
              <w:spacing w:line="240" w:lineRule="auto"/>
              <w:ind w:firstLine="0" w:firstLineChars="0"/>
              <w:jc w:val="center"/>
              <w:rPr>
                <w:rFonts w:eastAsia="宋体" w:cs="Times New Roman"/>
                <w:color w:val="000000"/>
                <w:kern w:val="0"/>
                <w:sz w:val="20"/>
                <w:szCs w:val="20"/>
              </w:rPr>
            </w:pPr>
          </w:p>
        </w:tc>
        <w:tc>
          <w:tcPr>
            <w:tcW w:w="598" w:type="dxa"/>
            <w:shd w:val="clear" w:color="auto" w:fill="auto"/>
            <w:vAlign w:val="center"/>
          </w:tcPr>
          <w:p w14:paraId="6D2A582F">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行政成本</w:t>
            </w:r>
          </w:p>
        </w:tc>
        <w:tc>
          <w:tcPr>
            <w:tcW w:w="903" w:type="dxa"/>
            <w:shd w:val="clear" w:color="auto" w:fill="auto"/>
            <w:vAlign w:val="center"/>
          </w:tcPr>
          <w:p w14:paraId="0C85E8E8">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“三公”经费控制</w:t>
            </w:r>
          </w:p>
        </w:tc>
        <w:tc>
          <w:tcPr>
            <w:tcW w:w="526" w:type="dxa"/>
            <w:shd w:val="clear" w:color="auto" w:fill="auto"/>
            <w:noWrap/>
            <w:vAlign w:val="center"/>
          </w:tcPr>
          <w:p w14:paraId="0844BA11">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1</w:t>
            </w:r>
          </w:p>
        </w:tc>
        <w:tc>
          <w:tcPr>
            <w:tcW w:w="1040" w:type="dxa"/>
            <w:shd w:val="clear" w:color="auto" w:fill="auto"/>
            <w:vAlign w:val="center"/>
          </w:tcPr>
          <w:p w14:paraId="4FA2D0FA">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当年“三公”经费预算与当年决算比，反映“三公”经费控制情况</w:t>
            </w:r>
          </w:p>
        </w:tc>
        <w:tc>
          <w:tcPr>
            <w:tcW w:w="3947" w:type="dxa"/>
            <w:shd w:val="clear" w:color="auto" w:fill="auto"/>
            <w:vAlign w:val="center"/>
          </w:tcPr>
          <w:p w14:paraId="3437E681">
            <w:pPr>
              <w:widowControl/>
              <w:spacing w:line="240" w:lineRule="auto"/>
              <w:ind w:firstLine="0" w:firstLineChars="0"/>
              <w:jc w:val="left"/>
              <w:rPr>
                <w:rFonts w:eastAsia="宋体" w:cs="Times New Roman"/>
                <w:color w:val="000000"/>
                <w:kern w:val="0"/>
                <w:sz w:val="20"/>
                <w:szCs w:val="20"/>
              </w:rPr>
            </w:pPr>
            <w:r>
              <w:rPr>
                <w:rFonts w:eastAsia="宋体" w:cs="Times New Roman"/>
                <w:color w:val="000000"/>
                <w:kern w:val="0"/>
                <w:sz w:val="20"/>
                <w:szCs w:val="20"/>
              </w:rPr>
              <w:t>部门“三公”经费决算数一项超预算扣0.5分，两项扣1分</w:t>
            </w:r>
          </w:p>
        </w:tc>
        <w:tc>
          <w:tcPr>
            <w:tcW w:w="1286" w:type="dxa"/>
            <w:shd w:val="clear" w:color="auto" w:fill="auto"/>
            <w:vAlign w:val="center"/>
          </w:tcPr>
          <w:p w14:paraId="5F92BAFA">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部门整体绩效评价材料（部门决算报表）报送</w:t>
            </w:r>
          </w:p>
        </w:tc>
        <w:tc>
          <w:tcPr>
            <w:tcW w:w="855" w:type="dxa"/>
            <w:shd w:val="clear" w:color="auto" w:fill="auto"/>
            <w:vAlign w:val="center"/>
          </w:tcPr>
          <w:p w14:paraId="1B1BFA0A">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1.00</w:t>
            </w:r>
          </w:p>
        </w:tc>
        <w:tc>
          <w:tcPr>
            <w:tcW w:w="880" w:type="dxa"/>
            <w:vAlign w:val="center"/>
          </w:tcPr>
          <w:p w14:paraId="1B5416B8">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100%</w:t>
            </w:r>
          </w:p>
        </w:tc>
        <w:tc>
          <w:tcPr>
            <w:tcW w:w="3292" w:type="dxa"/>
            <w:shd w:val="clear" w:color="auto" w:fill="auto"/>
            <w:vAlign w:val="center"/>
          </w:tcPr>
          <w:p w14:paraId="03F85675">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三公经费预算45万，决算24万</w:t>
            </w:r>
          </w:p>
        </w:tc>
      </w:tr>
      <w:tr w14:paraId="56FDB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jc w:val="center"/>
        </w:trPr>
        <w:tc>
          <w:tcPr>
            <w:tcW w:w="616" w:type="dxa"/>
            <w:vMerge w:val="continue"/>
            <w:vAlign w:val="center"/>
          </w:tcPr>
          <w:p w14:paraId="0FF0D4CD">
            <w:pPr>
              <w:widowControl/>
              <w:spacing w:line="240" w:lineRule="auto"/>
              <w:ind w:firstLine="0" w:firstLineChars="0"/>
              <w:jc w:val="center"/>
              <w:rPr>
                <w:rFonts w:eastAsia="宋体" w:cs="Times New Roman"/>
                <w:color w:val="000000"/>
                <w:kern w:val="0"/>
                <w:sz w:val="20"/>
                <w:szCs w:val="20"/>
              </w:rPr>
            </w:pPr>
          </w:p>
        </w:tc>
        <w:tc>
          <w:tcPr>
            <w:tcW w:w="598" w:type="dxa"/>
            <w:shd w:val="clear" w:color="auto" w:fill="auto"/>
            <w:vAlign w:val="center"/>
          </w:tcPr>
          <w:p w14:paraId="25207246">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政府采购</w:t>
            </w:r>
          </w:p>
        </w:tc>
        <w:tc>
          <w:tcPr>
            <w:tcW w:w="903" w:type="dxa"/>
            <w:shd w:val="clear" w:color="auto" w:fill="auto"/>
            <w:vAlign w:val="center"/>
          </w:tcPr>
          <w:p w14:paraId="68CCAAF0">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采购规范性</w:t>
            </w:r>
          </w:p>
        </w:tc>
        <w:tc>
          <w:tcPr>
            <w:tcW w:w="526" w:type="dxa"/>
            <w:shd w:val="clear" w:color="auto" w:fill="auto"/>
            <w:noWrap/>
            <w:vAlign w:val="center"/>
          </w:tcPr>
          <w:p w14:paraId="0EC6AC48">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1</w:t>
            </w:r>
          </w:p>
        </w:tc>
        <w:tc>
          <w:tcPr>
            <w:tcW w:w="1040" w:type="dxa"/>
            <w:shd w:val="clear" w:color="auto" w:fill="auto"/>
            <w:vAlign w:val="center"/>
          </w:tcPr>
          <w:p w14:paraId="76CBF9A1">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考察政府采购项目的采购程序、采购方式的规范性</w:t>
            </w:r>
          </w:p>
        </w:tc>
        <w:tc>
          <w:tcPr>
            <w:tcW w:w="3947" w:type="dxa"/>
            <w:shd w:val="clear" w:color="auto" w:fill="auto"/>
            <w:vAlign w:val="center"/>
          </w:tcPr>
          <w:p w14:paraId="0A348D87">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采购方式、程序中每一点不规范，扣0.5 分，直至扣完</w:t>
            </w:r>
          </w:p>
        </w:tc>
        <w:tc>
          <w:tcPr>
            <w:tcW w:w="1286" w:type="dxa"/>
            <w:shd w:val="clear" w:color="auto" w:fill="auto"/>
            <w:vAlign w:val="center"/>
          </w:tcPr>
          <w:p w14:paraId="1D262739">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通过查勘项目管理的过程文件，政府采购内部控制管理制度执行情况</w:t>
            </w:r>
          </w:p>
        </w:tc>
        <w:tc>
          <w:tcPr>
            <w:tcW w:w="855" w:type="dxa"/>
            <w:shd w:val="clear" w:color="auto" w:fill="auto"/>
            <w:vAlign w:val="center"/>
          </w:tcPr>
          <w:p w14:paraId="5BBB6B81">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0.50</w:t>
            </w:r>
          </w:p>
        </w:tc>
        <w:tc>
          <w:tcPr>
            <w:tcW w:w="880" w:type="dxa"/>
            <w:vAlign w:val="center"/>
          </w:tcPr>
          <w:p w14:paraId="40181DBD">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50%</w:t>
            </w:r>
          </w:p>
        </w:tc>
        <w:tc>
          <w:tcPr>
            <w:tcW w:w="3292" w:type="dxa"/>
            <w:shd w:val="clear" w:color="auto" w:fill="auto"/>
            <w:vAlign w:val="center"/>
          </w:tcPr>
          <w:p w14:paraId="7839A862">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抽查项目中，森林防火经费采购的短视频制作项目，通过电话询价方式确定供应商，无询价留痕文件</w:t>
            </w:r>
            <w:r>
              <w:rPr>
                <w:rFonts w:hint="eastAsia" w:eastAsia="宋体" w:cs="Times New Roman"/>
                <w:color w:val="000000"/>
                <w:kern w:val="0"/>
                <w:sz w:val="20"/>
                <w:szCs w:val="20"/>
              </w:rPr>
              <w:t>。</w:t>
            </w:r>
          </w:p>
        </w:tc>
      </w:tr>
      <w:tr w14:paraId="62C44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616" w:type="dxa"/>
            <w:vMerge w:val="continue"/>
            <w:vAlign w:val="center"/>
          </w:tcPr>
          <w:p w14:paraId="5E812B95">
            <w:pPr>
              <w:widowControl/>
              <w:spacing w:line="240" w:lineRule="auto"/>
              <w:ind w:firstLine="0" w:firstLineChars="0"/>
              <w:jc w:val="center"/>
              <w:rPr>
                <w:rFonts w:eastAsia="宋体" w:cs="Times New Roman"/>
                <w:color w:val="000000"/>
                <w:kern w:val="0"/>
                <w:sz w:val="20"/>
                <w:szCs w:val="20"/>
              </w:rPr>
            </w:pPr>
          </w:p>
        </w:tc>
        <w:tc>
          <w:tcPr>
            <w:tcW w:w="598" w:type="dxa"/>
            <w:shd w:val="clear" w:color="auto" w:fill="auto"/>
            <w:vAlign w:val="center"/>
          </w:tcPr>
          <w:p w14:paraId="1C71D37D">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资产管理</w:t>
            </w:r>
          </w:p>
        </w:tc>
        <w:tc>
          <w:tcPr>
            <w:tcW w:w="903" w:type="dxa"/>
            <w:shd w:val="clear" w:color="auto" w:fill="auto"/>
            <w:vAlign w:val="center"/>
          </w:tcPr>
          <w:p w14:paraId="55CB2C83">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固定资产在用率</w:t>
            </w:r>
          </w:p>
        </w:tc>
        <w:tc>
          <w:tcPr>
            <w:tcW w:w="526" w:type="dxa"/>
            <w:shd w:val="clear" w:color="auto" w:fill="auto"/>
            <w:noWrap/>
            <w:vAlign w:val="center"/>
          </w:tcPr>
          <w:p w14:paraId="6E779014">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2</w:t>
            </w:r>
          </w:p>
        </w:tc>
        <w:tc>
          <w:tcPr>
            <w:tcW w:w="1040" w:type="dxa"/>
            <w:shd w:val="clear" w:color="auto" w:fill="auto"/>
            <w:vAlign w:val="center"/>
          </w:tcPr>
          <w:p w14:paraId="7BDF3E15">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部门实际在用固定资产总额与所有固定资产总额的比率，用以反映和考核部门固定资产使用效率及程度</w:t>
            </w:r>
          </w:p>
        </w:tc>
        <w:tc>
          <w:tcPr>
            <w:tcW w:w="3947" w:type="dxa"/>
            <w:shd w:val="clear" w:color="auto" w:fill="auto"/>
            <w:vAlign w:val="center"/>
          </w:tcPr>
          <w:p w14:paraId="3E5D9E58">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固定资产在用率=（实际在用固定资产总额/所有固定资产总额）×100%。固定资产在用率达到 95%以上得满分。相较95%，每降低 5个百分点扣1分，直至扣完。</w:t>
            </w:r>
          </w:p>
        </w:tc>
        <w:tc>
          <w:tcPr>
            <w:tcW w:w="1286" w:type="dxa"/>
            <w:shd w:val="clear" w:color="auto" w:fill="auto"/>
            <w:vAlign w:val="center"/>
          </w:tcPr>
          <w:p w14:paraId="28907368">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《固定资产明细表》、《资产盘点表》、行政事业资产管理系统统计数据、资产情况表，部门整体绩效评价材料报送、部门座谈会、专家资料分析</w:t>
            </w:r>
          </w:p>
        </w:tc>
        <w:tc>
          <w:tcPr>
            <w:tcW w:w="855" w:type="dxa"/>
            <w:shd w:val="clear" w:color="auto" w:fill="auto"/>
            <w:vAlign w:val="center"/>
          </w:tcPr>
          <w:p w14:paraId="48A823AA">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2.00</w:t>
            </w:r>
          </w:p>
        </w:tc>
        <w:tc>
          <w:tcPr>
            <w:tcW w:w="880" w:type="dxa"/>
            <w:vAlign w:val="center"/>
          </w:tcPr>
          <w:p w14:paraId="756D0426">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100%</w:t>
            </w:r>
          </w:p>
        </w:tc>
        <w:tc>
          <w:tcPr>
            <w:tcW w:w="3292" w:type="dxa"/>
            <w:shd w:val="clear" w:color="auto" w:fill="auto"/>
            <w:vAlign w:val="center"/>
          </w:tcPr>
          <w:p w14:paraId="72452C60">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固定资质在用率100%</w:t>
            </w:r>
          </w:p>
        </w:tc>
      </w:tr>
      <w:tr w14:paraId="27585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0" w:hRule="atLeast"/>
          <w:jc w:val="center"/>
        </w:trPr>
        <w:tc>
          <w:tcPr>
            <w:tcW w:w="616" w:type="dxa"/>
            <w:vMerge w:val="continue"/>
            <w:vAlign w:val="center"/>
          </w:tcPr>
          <w:p w14:paraId="1E0E073A">
            <w:pPr>
              <w:widowControl/>
              <w:spacing w:line="240" w:lineRule="auto"/>
              <w:ind w:firstLine="0" w:firstLineChars="0"/>
              <w:jc w:val="center"/>
              <w:rPr>
                <w:rFonts w:eastAsia="宋体" w:cs="Times New Roman"/>
                <w:color w:val="000000"/>
                <w:kern w:val="0"/>
                <w:sz w:val="20"/>
                <w:szCs w:val="20"/>
              </w:rPr>
            </w:pPr>
          </w:p>
        </w:tc>
        <w:tc>
          <w:tcPr>
            <w:tcW w:w="598" w:type="dxa"/>
            <w:shd w:val="clear" w:color="auto" w:fill="auto"/>
            <w:vAlign w:val="center"/>
          </w:tcPr>
          <w:p w14:paraId="1B380ABF">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信息公开</w:t>
            </w:r>
          </w:p>
        </w:tc>
        <w:tc>
          <w:tcPr>
            <w:tcW w:w="903" w:type="dxa"/>
            <w:shd w:val="clear" w:color="auto" w:fill="auto"/>
            <w:vAlign w:val="center"/>
          </w:tcPr>
          <w:p w14:paraId="50011096">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信息公开</w:t>
            </w:r>
          </w:p>
        </w:tc>
        <w:tc>
          <w:tcPr>
            <w:tcW w:w="526" w:type="dxa"/>
            <w:shd w:val="clear" w:color="auto" w:fill="auto"/>
            <w:noWrap/>
            <w:vAlign w:val="center"/>
          </w:tcPr>
          <w:p w14:paraId="53E6241B">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2</w:t>
            </w:r>
          </w:p>
        </w:tc>
        <w:tc>
          <w:tcPr>
            <w:tcW w:w="1040" w:type="dxa"/>
            <w:shd w:val="clear" w:color="auto" w:fill="auto"/>
            <w:vAlign w:val="center"/>
          </w:tcPr>
          <w:p w14:paraId="3F0402F0">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除涉密单位和信息外，考核部门（单位）是否按财政要求及时完成预算、决算、绩效等信息公开工作</w:t>
            </w:r>
          </w:p>
        </w:tc>
        <w:tc>
          <w:tcPr>
            <w:tcW w:w="3947" w:type="dxa"/>
            <w:shd w:val="clear" w:color="auto" w:fill="auto"/>
            <w:vAlign w:val="center"/>
          </w:tcPr>
          <w:p w14:paraId="17F196F1">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一项公开工作未完成的扣1分，直至扣完。</w:t>
            </w:r>
          </w:p>
        </w:tc>
        <w:tc>
          <w:tcPr>
            <w:tcW w:w="1286" w:type="dxa"/>
            <w:shd w:val="clear" w:color="auto" w:fill="auto"/>
            <w:vAlign w:val="center"/>
          </w:tcPr>
          <w:p w14:paraId="2A3868A7">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通过报送部门政务公开情况相关材料</w:t>
            </w:r>
          </w:p>
        </w:tc>
        <w:tc>
          <w:tcPr>
            <w:tcW w:w="855" w:type="dxa"/>
            <w:shd w:val="clear" w:color="auto" w:fill="auto"/>
            <w:vAlign w:val="center"/>
          </w:tcPr>
          <w:p w14:paraId="5113A4FC">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2.00</w:t>
            </w:r>
          </w:p>
        </w:tc>
        <w:tc>
          <w:tcPr>
            <w:tcW w:w="880" w:type="dxa"/>
            <w:vAlign w:val="center"/>
          </w:tcPr>
          <w:p w14:paraId="79AD3AF9">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100%</w:t>
            </w:r>
          </w:p>
        </w:tc>
        <w:tc>
          <w:tcPr>
            <w:tcW w:w="3292" w:type="dxa"/>
            <w:shd w:val="clear" w:color="auto" w:fill="auto"/>
            <w:vAlign w:val="center"/>
          </w:tcPr>
          <w:p w14:paraId="05BC6416">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市自然资源和规划局于2020年5月15日在德阳市政府信息公开网站公开2020年度本部门预算，于2020年9月22日在德阳市政府信息公开网站公开2019年度本部门决算。</w:t>
            </w:r>
          </w:p>
        </w:tc>
      </w:tr>
      <w:tr w14:paraId="76D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16" w:type="dxa"/>
            <w:vMerge w:val="restart"/>
            <w:shd w:val="clear" w:color="auto" w:fill="auto"/>
            <w:vAlign w:val="center"/>
          </w:tcPr>
          <w:p w14:paraId="03EB643C">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履职效能</w:t>
            </w:r>
          </w:p>
        </w:tc>
        <w:tc>
          <w:tcPr>
            <w:tcW w:w="598" w:type="dxa"/>
            <w:shd w:val="clear" w:color="auto" w:fill="auto"/>
            <w:vAlign w:val="center"/>
          </w:tcPr>
          <w:p w14:paraId="7870F888">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不动产登记</w:t>
            </w:r>
          </w:p>
        </w:tc>
        <w:tc>
          <w:tcPr>
            <w:tcW w:w="903" w:type="dxa"/>
            <w:shd w:val="clear" w:color="auto" w:fill="auto"/>
            <w:vAlign w:val="center"/>
          </w:tcPr>
          <w:p w14:paraId="20FB7617">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提升不动产登记率</w:t>
            </w:r>
          </w:p>
        </w:tc>
        <w:tc>
          <w:tcPr>
            <w:tcW w:w="526" w:type="dxa"/>
            <w:shd w:val="clear" w:color="auto" w:fill="auto"/>
            <w:vAlign w:val="center"/>
          </w:tcPr>
          <w:p w14:paraId="69EE0D6B">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6</w:t>
            </w:r>
          </w:p>
        </w:tc>
        <w:tc>
          <w:tcPr>
            <w:tcW w:w="1040" w:type="dxa"/>
            <w:shd w:val="clear" w:color="auto" w:fill="auto"/>
            <w:vAlign w:val="center"/>
          </w:tcPr>
          <w:p w14:paraId="6C85C37F">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不动产登记率与2019年相比是否提升</w:t>
            </w:r>
          </w:p>
        </w:tc>
        <w:tc>
          <w:tcPr>
            <w:tcW w:w="3947" w:type="dxa"/>
            <w:shd w:val="clear" w:color="auto" w:fill="auto"/>
            <w:vAlign w:val="center"/>
          </w:tcPr>
          <w:p w14:paraId="62A9C21D">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与2019年相比，不动产登记率是否有提升。有提升，得4分；持平或减少，不得分。</w:t>
            </w:r>
          </w:p>
        </w:tc>
        <w:tc>
          <w:tcPr>
            <w:tcW w:w="1286" w:type="dxa"/>
            <w:shd w:val="clear" w:color="auto" w:fill="auto"/>
            <w:vAlign w:val="center"/>
          </w:tcPr>
          <w:p w14:paraId="2588D0CB">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对比分析部门2020年工作计划和2020年工作总结，以及重点工作落实情况</w:t>
            </w:r>
          </w:p>
        </w:tc>
        <w:tc>
          <w:tcPr>
            <w:tcW w:w="855" w:type="dxa"/>
            <w:shd w:val="clear" w:color="auto" w:fill="auto"/>
            <w:vAlign w:val="center"/>
          </w:tcPr>
          <w:p w14:paraId="0CBEB1B3">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6.00</w:t>
            </w:r>
          </w:p>
        </w:tc>
        <w:tc>
          <w:tcPr>
            <w:tcW w:w="880" w:type="dxa"/>
            <w:vAlign w:val="center"/>
          </w:tcPr>
          <w:p w14:paraId="0AB3CB1D">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100%</w:t>
            </w:r>
          </w:p>
        </w:tc>
        <w:tc>
          <w:tcPr>
            <w:tcW w:w="3292" w:type="dxa"/>
            <w:shd w:val="clear" w:color="auto" w:fill="auto"/>
            <w:vAlign w:val="center"/>
          </w:tcPr>
          <w:p w14:paraId="2E83DC05">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2019年：17550件；</w:t>
            </w:r>
          </w:p>
          <w:p w14:paraId="139C8668">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2020年：18025件。</w:t>
            </w:r>
          </w:p>
        </w:tc>
      </w:tr>
      <w:tr w14:paraId="3E1EE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jc w:val="center"/>
        </w:trPr>
        <w:tc>
          <w:tcPr>
            <w:tcW w:w="616" w:type="dxa"/>
            <w:vMerge w:val="continue"/>
            <w:vAlign w:val="center"/>
          </w:tcPr>
          <w:p w14:paraId="197EA8B0">
            <w:pPr>
              <w:widowControl/>
              <w:spacing w:line="240" w:lineRule="auto"/>
              <w:ind w:firstLine="0" w:firstLineChars="0"/>
              <w:jc w:val="center"/>
              <w:rPr>
                <w:rFonts w:eastAsia="宋体" w:cs="Times New Roman"/>
                <w:color w:val="000000"/>
                <w:kern w:val="0"/>
                <w:sz w:val="20"/>
                <w:szCs w:val="20"/>
              </w:rPr>
            </w:pPr>
          </w:p>
        </w:tc>
        <w:tc>
          <w:tcPr>
            <w:tcW w:w="598" w:type="dxa"/>
            <w:vMerge w:val="restart"/>
            <w:shd w:val="clear" w:color="auto" w:fill="auto"/>
            <w:vAlign w:val="center"/>
          </w:tcPr>
          <w:p w14:paraId="2B1A39FC">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灾害防治</w:t>
            </w:r>
          </w:p>
        </w:tc>
        <w:tc>
          <w:tcPr>
            <w:tcW w:w="903" w:type="dxa"/>
            <w:shd w:val="clear" w:color="auto" w:fill="auto"/>
            <w:noWrap/>
            <w:vAlign w:val="center"/>
          </w:tcPr>
          <w:p w14:paraId="282F4E6B">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地质灾害防治</w:t>
            </w:r>
          </w:p>
        </w:tc>
        <w:tc>
          <w:tcPr>
            <w:tcW w:w="526" w:type="dxa"/>
            <w:shd w:val="clear" w:color="auto" w:fill="auto"/>
            <w:vAlign w:val="center"/>
          </w:tcPr>
          <w:p w14:paraId="39E0187E">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4</w:t>
            </w:r>
          </w:p>
        </w:tc>
        <w:tc>
          <w:tcPr>
            <w:tcW w:w="1040" w:type="dxa"/>
            <w:shd w:val="clear" w:color="auto" w:fill="auto"/>
            <w:vAlign w:val="center"/>
          </w:tcPr>
          <w:p w14:paraId="65186766">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是否切实做好汛前排查、汛中巡查、讯后核查和应急调查处置工作。</w:t>
            </w:r>
          </w:p>
        </w:tc>
        <w:tc>
          <w:tcPr>
            <w:tcW w:w="3947" w:type="dxa"/>
            <w:shd w:val="clear" w:color="auto" w:fill="auto"/>
            <w:vAlign w:val="center"/>
          </w:tcPr>
          <w:p w14:paraId="744394C9">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汛前排查、汛中巡查、讯后核查、应急调查处置，每一个提供工作留痕或佐证材料，得1分。</w:t>
            </w:r>
          </w:p>
        </w:tc>
        <w:tc>
          <w:tcPr>
            <w:tcW w:w="1286" w:type="dxa"/>
            <w:shd w:val="clear" w:color="auto" w:fill="auto"/>
            <w:vAlign w:val="center"/>
          </w:tcPr>
          <w:p w14:paraId="5FAFCFF7">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对比分析部门2020年工作计划和2020年工作总结，以及重点工作落实情况</w:t>
            </w:r>
          </w:p>
        </w:tc>
        <w:tc>
          <w:tcPr>
            <w:tcW w:w="855" w:type="dxa"/>
            <w:shd w:val="clear" w:color="auto" w:fill="auto"/>
            <w:vAlign w:val="center"/>
          </w:tcPr>
          <w:p w14:paraId="76CA14C3">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4.00</w:t>
            </w:r>
          </w:p>
        </w:tc>
        <w:tc>
          <w:tcPr>
            <w:tcW w:w="880" w:type="dxa"/>
            <w:vAlign w:val="center"/>
          </w:tcPr>
          <w:p w14:paraId="418B7B78">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100%</w:t>
            </w:r>
          </w:p>
        </w:tc>
        <w:tc>
          <w:tcPr>
            <w:tcW w:w="3292" w:type="dxa"/>
            <w:shd w:val="clear" w:color="auto" w:fill="auto"/>
            <w:vAlign w:val="center"/>
          </w:tcPr>
          <w:p w14:paraId="1F0C8389">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5月出具了汛前排查报告；9月出具了汛中巡排查报告；12月出具了讯后核查报告；共出具5个村（组）的突发事件调查简报，如九龙镇清泉村23组福叠桥崩塌调查简报等；于年底出具了2020年地质灾害防治技术服务2020年度工作总结报告。"</w:t>
            </w:r>
          </w:p>
        </w:tc>
      </w:tr>
      <w:tr w14:paraId="3C6F2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jc w:val="center"/>
        </w:trPr>
        <w:tc>
          <w:tcPr>
            <w:tcW w:w="616" w:type="dxa"/>
            <w:vMerge w:val="continue"/>
            <w:vAlign w:val="center"/>
          </w:tcPr>
          <w:p w14:paraId="42F28457">
            <w:pPr>
              <w:widowControl/>
              <w:spacing w:line="240" w:lineRule="auto"/>
              <w:ind w:firstLine="0" w:firstLineChars="0"/>
              <w:jc w:val="center"/>
              <w:rPr>
                <w:rFonts w:eastAsia="宋体" w:cs="Times New Roman"/>
                <w:color w:val="000000"/>
                <w:kern w:val="0"/>
                <w:sz w:val="20"/>
                <w:szCs w:val="20"/>
              </w:rPr>
            </w:pPr>
          </w:p>
        </w:tc>
        <w:tc>
          <w:tcPr>
            <w:tcW w:w="598" w:type="dxa"/>
            <w:vMerge w:val="continue"/>
            <w:vAlign w:val="center"/>
          </w:tcPr>
          <w:p w14:paraId="6CCBC755">
            <w:pPr>
              <w:widowControl/>
              <w:spacing w:line="240" w:lineRule="auto"/>
              <w:ind w:firstLine="0" w:firstLineChars="0"/>
              <w:jc w:val="center"/>
              <w:rPr>
                <w:rFonts w:eastAsia="宋体" w:cs="Times New Roman"/>
                <w:color w:val="000000"/>
                <w:kern w:val="0"/>
                <w:sz w:val="20"/>
                <w:szCs w:val="20"/>
              </w:rPr>
            </w:pPr>
          </w:p>
        </w:tc>
        <w:tc>
          <w:tcPr>
            <w:tcW w:w="903" w:type="dxa"/>
            <w:shd w:val="clear" w:color="auto" w:fill="auto"/>
            <w:noWrap/>
            <w:vAlign w:val="center"/>
          </w:tcPr>
          <w:p w14:paraId="60AAFDE4">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森林防火</w:t>
            </w:r>
          </w:p>
        </w:tc>
        <w:tc>
          <w:tcPr>
            <w:tcW w:w="526" w:type="dxa"/>
            <w:shd w:val="clear" w:color="auto" w:fill="auto"/>
            <w:vAlign w:val="center"/>
          </w:tcPr>
          <w:p w14:paraId="1ADAF0F7">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4</w:t>
            </w:r>
          </w:p>
        </w:tc>
        <w:tc>
          <w:tcPr>
            <w:tcW w:w="1040" w:type="dxa"/>
            <w:shd w:val="clear" w:color="auto" w:fill="auto"/>
            <w:vAlign w:val="center"/>
          </w:tcPr>
          <w:p w14:paraId="5C5B051A">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2020年森林火灾有无人员伤亡，有无发生较大以上森林火灾</w:t>
            </w:r>
          </w:p>
        </w:tc>
        <w:tc>
          <w:tcPr>
            <w:tcW w:w="3947" w:type="dxa"/>
            <w:shd w:val="clear" w:color="auto" w:fill="auto"/>
            <w:vAlign w:val="center"/>
          </w:tcPr>
          <w:p w14:paraId="2ADF9A54">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2020年森林火灾有人员伤亡或发生较大以上森林火灾，不得分。</w:t>
            </w:r>
          </w:p>
        </w:tc>
        <w:tc>
          <w:tcPr>
            <w:tcW w:w="1286" w:type="dxa"/>
            <w:shd w:val="clear" w:color="auto" w:fill="auto"/>
            <w:vAlign w:val="center"/>
          </w:tcPr>
          <w:p w14:paraId="5F3040DC">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对比分析部门2020年工作计划和2020年工作总结，以及重点工作落实情况</w:t>
            </w:r>
          </w:p>
        </w:tc>
        <w:tc>
          <w:tcPr>
            <w:tcW w:w="855" w:type="dxa"/>
            <w:shd w:val="clear" w:color="auto" w:fill="auto"/>
            <w:vAlign w:val="center"/>
          </w:tcPr>
          <w:p w14:paraId="5935288A">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4.00</w:t>
            </w:r>
          </w:p>
        </w:tc>
        <w:tc>
          <w:tcPr>
            <w:tcW w:w="880" w:type="dxa"/>
            <w:vAlign w:val="center"/>
          </w:tcPr>
          <w:p w14:paraId="67611032">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100%</w:t>
            </w:r>
          </w:p>
        </w:tc>
        <w:tc>
          <w:tcPr>
            <w:tcW w:w="3292" w:type="dxa"/>
            <w:shd w:val="clear" w:color="auto" w:fill="auto"/>
            <w:vAlign w:val="center"/>
          </w:tcPr>
          <w:p w14:paraId="11B734BE">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近32年未发生森林火灾</w:t>
            </w:r>
          </w:p>
        </w:tc>
      </w:tr>
      <w:tr w14:paraId="7FEBF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8" w:hRule="atLeast"/>
          <w:jc w:val="center"/>
        </w:trPr>
        <w:tc>
          <w:tcPr>
            <w:tcW w:w="616" w:type="dxa"/>
            <w:vMerge w:val="continue"/>
            <w:vAlign w:val="center"/>
          </w:tcPr>
          <w:p w14:paraId="0FAD0413">
            <w:pPr>
              <w:widowControl/>
              <w:spacing w:line="240" w:lineRule="auto"/>
              <w:ind w:firstLine="0" w:firstLineChars="0"/>
              <w:jc w:val="center"/>
              <w:rPr>
                <w:rFonts w:eastAsia="宋体" w:cs="Times New Roman"/>
                <w:color w:val="000000"/>
                <w:kern w:val="0"/>
                <w:sz w:val="20"/>
                <w:szCs w:val="20"/>
              </w:rPr>
            </w:pPr>
          </w:p>
        </w:tc>
        <w:tc>
          <w:tcPr>
            <w:tcW w:w="598" w:type="dxa"/>
            <w:vMerge w:val="restart"/>
            <w:shd w:val="clear" w:color="auto" w:fill="auto"/>
            <w:vAlign w:val="center"/>
          </w:tcPr>
          <w:p w14:paraId="7B820E16">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统筹用地</w:t>
            </w:r>
          </w:p>
        </w:tc>
        <w:tc>
          <w:tcPr>
            <w:tcW w:w="903" w:type="dxa"/>
            <w:shd w:val="clear" w:color="auto" w:fill="auto"/>
            <w:vAlign w:val="center"/>
          </w:tcPr>
          <w:p w14:paraId="4763633E">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统筹安排各类各业用地</w:t>
            </w:r>
          </w:p>
        </w:tc>
        <w:tc>
          <w:tcPr>
            <w:tcW w:w="526" w:type="dxa"/>
            <w:shd w:val="clear" w:color="auto" w:fill="auto"/>
            <w:vAlign w:val="center"/>
          </w:tcPr>
          <w:p w14:paraId="4AE3281A">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4</w:t>
            </w:r>
          </w:p>
        </w:tc>
        <w:tc>
          <w:tcPr>
            <w:tcW w:w="1040" w:type="dxa"/>
            <w:shd w:val="clear" w:color="auto" w:fill="auto"/>
            <w:vAlign w:val="center"/>
          </w:tcPr>
          <w:p w14:paraId="07863A7A">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是否统筹安排各类各业用地</w:t>
            </w:r>
          </w:p>
        </w:tc>
        <w:tc>
          <w:tcPr>
            <w:tcW w:w="3947" w:type="dxa"/>
            <w:shd w:val="clear" w:color="auto" w:fill="auto"/>
            <w:vAlign w:val="center"/>
          </w:tcPr>
          <w:p w14:paraId="437E034E">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按点给分。有统筹安排，得2分；达到“统筹兼顾，上下联动，条块结合、多方参与”，得4分</w:t>
            </w:r>
          </w:p>
        </w:tc>
        <w:tc>
          <w:tcPr>
            <w:tcW w:w="1286" w:type="dxa"/>
            <w:shd w:val="clear" w:color="auto" w:fill="auto"/>
            <w:vAlign w:val="center"/>
          </w:tcPr>
          <w:p w14:paraId="5451AEE3">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对比分析部门2020年工作计划和2020年工作总结，以及重点工作落实情况</w:t>
            </w:r>
          </w:p>
        </w:tc>
        <w:tc>
          <w:tcPr>
            <w:tcW w:w="855" w:type="dxa"/>
            <w:shd w:val="clear" w:color="auto" w:fill="auto"/>
            <w:vAlign w:val="center"/>
          </w:tcPr>
          <w:p w14:paraId="5CAF155A">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4.00</w:t>
            </w:r>
          </w:p>
        </w:tc>
        <w:tc>
          <w:tcPr>
            <w:tcW w:w="880" w:type="dxa"/>
            <w:vAlign w:val="center"/>
          </w:tcPr>
          <w:p w14:paraId="43D30433">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100</w:t>
            </w:r>
            <w:r>
              <w:rPr>
                <w:rFonts w:hint="eastAsia" w:eastAsia="宋体" w:cs="Times New Roman"/>
                <w:color w:val="000000"/>
                <w:kern w:val="0"/>
                <w:sz w:val="20"/>
                <w:szCs w:val="20"/>
              </w:rPr>
              <w:t>%</w:t>
            </w:r>
          </w:p>
        </w:tc>
        <w:tc>
          <w:tcPr>
            <w:tcW w:w="3292" w:type="dxa"/>
            <w:shd w:val="clear" w:color="auto" w:fill="auto"/>
            <w:vAlign w:val="center"/>
          </w:tcPr>
          <w:p w14:paraId="1154DE97">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根据《中华人民共和国城乡规划法》、建设部《城市规划编制法》、国家相关法规以及绵竹市的实际情况，为将绵竹建成“产业发达、功能完备、生态优宜、城乡一体”的现代中等城市，绵竹市设立了长期城市总体规划，合理统筹安排各类各业用地。</w:t>
            </w:r>
          </w:p>
        </w:tc>
      </w:tr>
      <w:tr w14:paraId="7BE98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616" w:type="dxa"/>
            <w:vMerge w:val="continue"/>
            <w:vAlign w:val="center"/>
          </w:tcPr>
          <w:p w14:paraId="19FB0B8C">
            <w:pPr>
              <w:widowControl/>
              <w:spacing w:line="240" w:lineRule="auto"/>
              <w:ind w:firstLine="0" w:firstLineChars="0"/>
              <w:jc w:val="center"/>
              <w:rPr>
                <w:rFonts w:eastAsia="宋体" w:cs="Times New Roman"/>
                <w:color w:val="000000"/>
                <w:kern w:val="0"/>
                <w:sz w:val="20"/>
                <w:szCs w:val="20"/>
              </w:rPr>
            </w:pPr>
          </w:p>
        </w:tc>
        <w:tc>
          <w:tcPr>
            <w:tcW w:w="598" w:type="dxa"/>
            <w:vMerge w:val="continue"/>
            <w:vAlign w:val="center"/>
          </w:tcPr>
          <w:p w14:paraId="4EF6B1FB">
            <w:pPr>
              <w:widowControl/>
              <w:spacing w:line="240" w:lineRule="auto"/>
              <w:ind w:firstLine="0" w:firstLineChars="0"/>
              <w:jc w:val="center"/>
              <w:rPr>
                <w:rFonts w:eastAsia="宋体" w:cs="Times New Roman"/>
                <w:color w:val="000000"/>
                <w:kern w:val="0"/>
                <w:sz w:val="20"/>
                <w:szCs w:val="20"/>
              </w:rPr>
            </w:pPr>
          </w:p>
        </w:tc>
        <w:tc>
          <w:tcPr>
            <w:tcW w:w="903" w:type="dxa"/>
            <w:shd w:val="clear" w:color="auto" w:fill="auto"/>
            <w:vAlign w:val="center"/>
          </w:tcPr>
          <w:p w14:paraId="6916C5E5">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重点项目用地保障</w:t>
            </w:r>
          </w:p>
        </w:tc>
        <w:tc>
          <w:tcPr>
            <w:tcW w:w="526" w:type="dxa"/>
            <w:shd w:val="clear" w:color="auto" w:fill="auto"/>
            <w:vAlign w:val="center"/>
          </w:tcPr>
          <w:p w14:paraId="29B2C89F">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3</w:t>
            </w:r>
          </w:p>
        </w:tc>
        <w:tc>
          <w:tcPr>
            <w:tcW w:w="1040" w:type="dxa"/>
            <w:shd w:val="clear" w:color="auto" w:fill="auto"/>
            <w:vAlign w:val="center"/>
          </w:tcPr>
          <w:p w14:paraId="4AC73ADA">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土门香氛小镇、土门月季园、湿地公园、新市物流园、德阿产业园、九绵园等重点项目的用地保障是否到位</w:t>
            </w:r>
          </w:p>
        </w:tc>
        <w:tc>
          <w:tcPr>
            <w:tcW w:w="3947" w:type="dxa"/>
            <w:shd w:val="clear" w:color="auto" w:fill="auto"/>
            <w:vAlign w:val="center"/>
          </w:tcPr>
          <w:p w14:paraId="582994C9">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六个重点项目每一个项目有明确的用地保障机制措施，得0.5分</w:t>
            </w:r>
          </w:p>
        </w:tc>
        <w:tc>
          <w:tcPr>
            <w:tcW w:w="1286" w:type="dxa"/>
            <w:shd w:val="clear" w:color="auto" w:fill="auto"/>
            <w:vAlign w:val="center"/>
          </w:tcPr>
          <w:p w14:paraId="4E3DC9D2">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对比分析部门2020年工作计划和2020年工作总结，以及重点工作落实情况</w:t>
            </w:r>
          </w:p>
        </w:tc>
        <w:tc>
          <w:tcPr>
            <w:tcW w:w="855" w:type="dxa"/>
            <w:shd w:val="clear" w:color="auto" w:fill="auto"/>
            <w:vAlign w:val="center"/>
          </w:tcPr>
          <w:p w14:paraId="33745F39">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3.00</w:t>
            </w:r>
          </w:p>
        </w:tc>
        <w:tc>
          <w:tcPr>
            <w:tcW w:w="880" w:type="dxa"/>
            <w:vAlign w:val="center"/>
          </w:tcPr>
          <w:p w14:paraId="1275D0B2">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100%</w:t>
            </w:r>
          </w:p>
        </w:tc>
        <w:tc>
          <w:tcPr>
            <w:tcW w:w="3292" w:type="dxa"/>
            <w:shd w:val="clear" w:color="auto" w:fill="auto"/>
            <w:vAlign w:val="center"/>
          </w:tcPr>
          <w:p w14:paraId="4CD3FEFA">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六个重点项目用地均保障到位</w:t>
            </w:r>
          </w:p>
        </w:tc>
      </w:tr>
      <w:tr w14:paraId="550CE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jc w:val="center"/>
        </w:trPr>
        <w:tc>
          <w:tcPr>
            <w:tcW w:w="616" w:type="dxa"/>
            <w:vMerge w:val="continue"/>
            <w:vAlign w:val="center"/>
          </w:tcPr>
          <w:p w14:paraId="49D8937E">
            <w:pPr>
              <w:widowControl/>
              <w:spacing w:line="240" w:lineRule="auto"/>
              <w:ind w:firstLine="0" w:firstLineChars="0"/>
              <w:jc w:val="center"/>
              <w:rPr>
                <w:rFonts w:eastAsia="宋体" w:cs="Times New Roman"/>
                <w:color w:val="000000"/>
                <w:kern w:val="0"/>
                <w:sz w:val="20"/>
                <w:szCs w:val="20"/>
              </w:rPr>
            </w:pPr>
          </w:p>
        </w:tc>
        <w:tc>
          <w:tcPr>
            <w:tcW w:w="598" w:type="dxa"/>
            <w:vMerge w:val="continue"/>
            <w:vAlign w:val="center"/>
          </w:tcPr>
          <w:p w14:paraId="149F1487">
            <w:pPr>
              <w:widowControl/>
              <w:spacing w:line="240" w:lineRule="auto"/>
              <w:ind w:firstLine="0" w:firstLineChars="0"/>
              <w:jc w:val="center"/>
              <w:rPr>
                <w:rFonts w:eastAsia="宋体" w:cs="Times New Roman"/>
                <w:color w:val="000000"/>
                <w:kern w:val="0"/>
                <w:sz w:val="20"/>
                <w:szCs w:val="20"/>
              </w:rPr>
            </w:pPr>
          </w:p>
        </w:tc>
        <w:tc>
          <w:tcPr>
            <w:tcW w:w="903" w:type="dxa"/>
            <w:shd w:val="clear" w:color="auto" w:fill="auto"/>
            <w:vAlign w:val="center"/>
          </w:tcPr>
          <w:p w14:paraId="35E34B05">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推进大熊猫项目建设</w:t>
            </w:r>
          </w:p>
        </w:tc>
        <w:tc>
          <w:tcPr>
            <w:tcW w:w="526" w:type="dxa"/>
            <w:shd w:val="clear" w:color="auto" w:fill="auto"/>
            <w:vAlign w:val="center"/>
          </w:tcPr>
          <w:p w14:paraId="6BC1DFB2">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3</w:t>
            </w:r>
          </w:p>
        </w:tc>
        <w:tc>
          <w:tcPr>
            <w:tcW w:w="1040" w:type="dxa"/>
            <w:shd w:val="clear" w:color="auto" w:fill="auto"/>
            <w:vAlign w:val="center"/>
          </w:tcPr>
          <w:p w14:paraId="07AFAA8D">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大熊猫国家公园创新示范区项目有所推进</w:t>
            </w:r>
          </w:p>
        </w:tc>
        <w:tc>
          <w:tcPr>
            <w:tcW w:w="3947" w:type="dxa"/>
            <w:shd w:val="clear" w:color="auto" w:fill="auto"/>
            <w:vAlign w:val="center"/>
          </w:tcPr>
          <w:p w14:paraId="792E9280">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征地方案、项目方案、可研报告等材料，每有1个，得1分</w:t>
            </w:r>
          </w:p>
        </w:tc>
        <w:tc>
          <w:tcPr>
            <w:tcW w:w="1286" w:type="dxa"/>
            <w:shd w:val="clear" w:color="auto" w:fill="auto"/>
            <w:vAlign w:val="center"/>
          </w:tcPr>
          <w:p w14:paraId="0AB729F2">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对比分析部门2020年工作计划和2020年工作总结，以及重点工作落实情况</w:t>
            </w:r>
          </w:p>
        </w:tc>
        <w:tc>
          <w:tcPr>
            <w:tcW w:w="855" w:type="dxa"/>
            <w:shd w:val="clear" w:color="auto" w:fill="auto"/>
            <w:vAlign w:val="center"/>
          </w:tcPr>
          <w:p w14:paraId="2FD0DCB1">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3.00</w:t>
            </w:r>
          </w:p>
        </w:tc>
        <w:tc>
          <w:tcPr>
            <w:tcW w:w="880" w:type="dxa"/>
            <w:vAlign w:val="center"/>
          </w:tcPr>
          <w:p w14:paraId="7AAF397B">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100%</w:t>
            </w:r>
          </w:p>
        </w:tc>
        <w:tc>
          <w:tcPr>
            <w:tcW w:w="3292" w:type="dxa"/>
            <w:shd w:val="clear" w:color="auto" w:fill="auto"/>
            <w:vAlign w:val="center"/>
          </w:tcPr>
          <w:p w14:paraId="2F3D12F4">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截止评价日，大熊猫国家公园创新示范区项目已完成征地方案、项目方案、可研报告等材料的编制</w:t>
            </w:r>
          </w:p>
        </w:tc>
      </w:tr>
      <w:tr w14:paraId="6F485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jc w:val="center"/>
        </w:trPr>
        <w:tc>
          <w:tcPr>
            <w:tcW w:w="616" w:type="dxa"/>
            <w:vMerge w:val="continue"/>
            <w:vAlign w:val="center"/>
          </w:tcPr>
          <w:p w14:paraId="6B8AB5AF">
            <w:pPr>
              <w:widowControl/>
              <w:spacing w:line="240" w:lineRule="auto"/>
              <w:ind w:firstLine="0" w:firstLineChars="0"/>
              <w:jc w:val="center"/>
              <w:rPr>
                <w:rFonts w:eastAsia="宋体" w:cs="Times New Roman"/>
                <w:color w:val="000000"/>
                <w:kern w:val="0"/>
                <w:sz w:val="20"/>
                <w:szCs w:val="20"/>
              </w:rPr>
            </w:pPr>
          </w:p>
        </w:tc>
        <w:tc>
          <w:tcPr>
            <w:tcW w:w="598" w:type="dxa"/>
            <w:vMerge w:val="restart"/>
            <w:shd w:val="clear" w:color="auto" w:fill="auto"/>
            <w:vAlign w:val="center"/>
          </w:tcPr>
          <w:p w14:paraId="4368E319">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绿色发展</w:t>
            </w:r>
          </w:p>
        </w:tc>
        <w:tc>
          <w:tcPr>
            <w:tcW w:w="903" w:type="dxa"/>
            <w:shd w:val="clear" w:color="auto" w:fill="auto"/>
            <w:vAlign w:val="center"/>
          </w:tcPr>
          <w:p w14:paraId="29DD1EE9">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永久基本农田储备划定工作完成情况</w:t>
            </w:r>
          </w:p>
        </w:tc>
        <w:tc>
          <w:tcPr>
            <w:tcW w:w="526" w:type="dxa"/>
            <w:shd w:val="clear" w:color="auto" w:fill="auto"/>
            <w:vAlign w:val="center"/>
          </w:tcPr>
          <w:p w14:paraId="22F7888B">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4</w:t>
            </w:r>
          </w:p>
        </w:tc>
        <w:tc>
          <w:tcPr>
            <w:tcW w:w="1040" w:type="dxa"/>
            <w:shd w:val="clear" w:color="auto" w:fill="auto"/>
            <w:vAlign w:val="center"/>
          </w:tcPr>
          <w:p w14:paraId="0D3E034F">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永久基本农田储备划定是否完成</w:t>
            </w:r>
          </w:p>
        </w:tc>
        <w:tc>
          <w:tcPr>
            <w:tcW w:w="3947" w:type="dxa"/>
            <w:shd w:val="clear" w:color="auto" w:fill="auto"/>
            <w:vAlign w:val="center"/>
          </w:tcPr>
          <w:p w14:paraId="1F1193C4">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是否评分法，完成得4分，未完成不得分。</w:t>
            </w:r>
          </w:p>
        </w:tc>
        <w:tc>
          <w:tcPr>
            <w:tcW w:w="1286" w:type="dxa"/>
            <w:shd w:val="clear" w:color="auto" w:fill="auto"/>
            <w:vAlign w:val="center"/>
          </w:tcPr>
          <w:p w14:paraId="005E842C">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对比分析部门2020年工作计划和2020年工作总结，以及重点工作落实情况</w:t>
            </w:r>
          </w:p>
        </w:tc>
        <w:tc>
          <w:tcPr>
            <w:tcW w:w="855" w:type="dxa"/>
            <w:shd w:val="clear" w:color="auto" w:fill="auto"/>
            <w:vAlign w:val="center"/>
          </w:tcPr>
          <w:p w14:paraId="450147C7">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4.00</w:t>
            </w:r>
          </w:p>
        </w:tc>
        <w:tc>
          <w:tcPr>
            <w:tcW w:w="880" w:type="dxa"/>
            <w:vAlign w:val="center"/>
          </w:tcPr>
          <w:p w14:paraId="5D2B752F">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100%</w:t>
            </w:r>
          </w:p>
        </w:tc>
        <w:tc>
          <w:tcPr>
            <w:tcW w:w="3292" w:type="dxa"/>
            <w:shd w:val="clear" w:color="auto" w:fill="auto"/>
            <w:vAlign w:val="center"/>
          </w:tcPr>
          <w:p w14:paraId="673B76C5">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已完成永久基本农田储备划定</w:t>
            </w:r>
          </w:p>
        </w:tc>
      </w:tr>
      <w:tr w14:paraId="3A7A3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16" w:type="dxa"/>
            <w:vMerge w:val="continue"/>
            <w:vAlign w:val="center"/>
          </w:tcPr>
          <w:p w14:paraId="452E6500">
            <w:pPr>
              <w:widowControl/>
              <w:spacing w:line="240" w:lineRule="auto"/>
              <w:ind w:firstLine="0" w:firstLineChars="0"/>
              <w:jc w:val="center"/>
              <w:rPr>
                <w:rFonts w:eastAsia="宋体" w:cs="Times New Roman"/>
                <w:color w:val="000000"/>
                <w:kern w:val="0"/>
                <w:sz w:val="20"/>
                <w:szCs w:val="20"/>
              </w:rPr>
            </w:pPr>
          </w:p>
        </w:tc>
        <w:tc>
          <w:tcPr>
            <w:tcW w:w="598" w:type="dxa"/>
            <w:vMerge w:val="continue"/>
            <w:vAlign w:val="center"/>
          </w:tcPr>
          <w:p w14:paraId="1FE586F2">
            <w:pPr>
              <w:widowControl/>
              <w:spacing w:line="240" w:lineRule="auto"/>
              <w:ind w:firstLine="0" w:firstLineChars="0"/>
              <w:jc w:val="center"/>
              <w:rPr>
                <w:rFonts w:eastAsia="宋体" w:cs="Times New Roman"/>
                <w:color w:val="000000"/>
                <w:kern w:val="0"/>
                <w:sz w:val="20"/>
                <w:szCs w:val="20"/>
              </w:rPr>
            </w:pPr>
          </w:p>
        </w:tc>
        <w:tc>
          <w:tcPr>
            <w:tcW w:w="903" w:type="dxa"/>
            <w:shd w:val="clear" w:color="auto" w:fill="auto"/>
            <w:vAlign w:val="center"/>
          </w:tcPr>
          <w:p w14:paraId="4376B281">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永久基本农田划定成果核实整改工作</w:t>
            </w:r>
          </w:p>
        </w:tc>
        <w:tc>
          <w:tcPr>
            <w:tcW w:w="526" w:type="dxa"/>
            <w:shd w:val="clear" w:color="auto" w:fill="auto"/>
            <w:vAlign w:val="center"/>
          </w:tcPr>
          <w:p w14:paraId="3BAAC85E">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4</w:t>
            </w:r>
          </w:p>
        </w:tc>
        <w:tc>
          <w:tcPr>
            <w:tcW w:w="1040" w:type="dxa"/>
            <w:shd w:val="clear" w:color="auto" w:fill="auto"/>
            <w:vAlign w:val="center"/>
          </w:tcPr>
          <w:p w14:paraId="21D59F42">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永久基本农田划定成果核实整改工作是否完成</w:t>
            </w:r>
          </w:p>
        </w:tc>
        <w:tc>
          <w:tcPr>
            <w:tcW w:w="3947" w:type="dxa"/>
            <w:shd w:val="clear" w:color="auto" w:fill="auto"/>
            <w:vAlign w:val="center"/>
          </w:tcPr>
          <w:p w14:paraId="1B4B6A0A">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是否评分法，完成得4分，未完成不得分。</w:t>
            </w:r>
          </w:p>
        </w:tc>
        <w:tc>
          <w:tcPr>
            <w:tcW w:w="1286" w:type="dxa"/>
            <w:shd w:val="clear" w:color="auto" w:fill="auto"/>
            <w:vAlign w:val="center"/>
          </w:tcPr>
          <w:p w14:paraId="372FCAEA">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对比分析部门2020年工作计划和2020年工作总结，以及重点工作落实情况</w:t>
            </w:r>
          </w:p>
        </w:tc>
        <w:tc>
          <w:tcPr>
            <w:tcW w:w="855" w:type="dxa"/>
            <w:shd w:val="clear" w:color="auto" w:fill="auto"/>
            <w:vAlign w:val="center"/>
          </w:tcPr>
          <w:p w14:paraId="3F883F36">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0.00</w:t>
            </w:r>
          </w:p>
        </w:tc>
        <w:tc>
          <w:tcPr>
            <w:tcW w:w="880" w:type="dxa"/>
            <w:vAlign w:val="center"/>
          </w:tcPr>
          <w:p w14:paraId="68EDCA0A">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0%</w:t>
            </w:r>
          </w:p>
        </w:tc>
        <w:tc>
          <w:tcPr>
            <w:tcW w:w="3292" w:type="dxa"/>
            <w:shd w:val="clear" w:color="auto" w:fill="auto"/>
            <w:vAlign w:val="center"/>
          </w:tcPr>
          <w:p w14:paraId="056CD028">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截止评价日，未开展永久基本农田划定成果核实整改工作</w:t>
            </w:r>
          </w:p>
        </w:tc>
      </w:tr>
      <w:tr w14:paraId="7263E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jc w:val="center"/>
        </w:trPr>
        <w:tc>
          <w:tcPr>
            <w:tcW w:w="616" w:type="dxa"/>
            <w:vMerge w:val="continue"/>
            <w:vAlign w:val="center"/>
          </w:tcPr>
          <w:p w14:paraId="7ECD3DB2">
            <w:pPr>
              <w:widowControl/>
              <w:spacing w:line="240" w:lineRule="auto"/>
              <w:ind w:firstLine="0" w:firstLineChars="0"/>
              <w:jc w:val="center"/>
              <w:rPr>
                <w:rFonts w:eastAsia="宋体" w:cs="Times New Roman"/>
                <w:color w:val="000000"/>
                <w:kern w:val="0"/>
                <w:sz w:val="20"/>
                <w:szCs w:val="20"/>
              </w:rPr>
            </w:pPr>
          </w:p>
        </w:tc>
        <w:tc>
          <w:tcPr>
            <w:tcW w:w="598" w:type="dxa"/>
            <w:vMerge w:val="continue"/>
            <w:vAlign w:val="center"/>
          </w:tcPr>
          <w:p w14:paraId="22C4E4EE">
            <w:pPr>
              <w:widowControl/>
              <w:spacing w:line="240" w:lineRule="auto"/>
              <w:ind w:firstLine="0" w:firstLineChars="0"/>
              <w:jc w:val="center"/>
              <w:rPr>
                <w:rFonts w:eastAsia="宋体" w:cs="Times New Roman"/>
                <w:color w:val="000000"/>
                <w:kern w:val="0"/>
                <w:sz w:val="20"/>
                <w:szCs w:val="20"/>
              </w:rPr>
            </w:pPr>
          </w:p>
        </w:tc>
        <w:tc>
          <w:tcPr>
            <w:tcW w:w="903" w:type="dxa"/>
            <w:shd w:val="clear" w:color="auto" w:fill="auto"/>
            <w:vAlign w:val="center"/>
          </w:tcPr>
          <w:p w14:paraId="768F3D53">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开展大规模绿化行动</w:t>
            </w:r>
          </w:p>
        </w:tc>
        <w:tc>
          <w:tcPr>
            <w:tcW w:w="526" w:type="dxa"/>
            <w:shd w:val="clear" w:color="auto" w:fill="auto"/>
            <w:vAlign w:val="center"/>
          </w:tcPr>
          <w:p w14:paraId="70308233">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4</w:t>
            </w:r>
          </w:p>
        </w:tc>
        <w:tc>
          <w:tcPr>
            <w:tcW w:w="1040" w:type="dxa"/>
            <w:shd w:val="clear" w:color="auto" w:fill="auto"/>
            <w:vAlign w:val="center"/>
          </w:tcPr>
          <w:p w14:paraId="0FFFD1D8">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是否积极推进大规模绿化行动</w:t>
            </w:r>
          </w:p>
        </w:tc>
        <w:tc>
          <w:tcPr>
            <w:tcW w:w="3947" w:type="dxa"/>
            <w:shd w:val="clear" w:color="auto" w:fill="auto"/>
            <w:vAlign w:val="center"/>
          </w:tcPr>
          <w:p w14:paraId="642213EC">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绿化示范点监测项目、沙化监测工作、退耕还林生态林抚育补助项目、慈竹7号引种项目，每完成一项，得1分。</w:t>
            </w:r>
          </w:p>
        </w:tc>
        <w:tc>
          <w:tcPr>
            <w:tcW w:w="1286" w:type="dxa"/>
            <w:shd w:val="clear" w:color="auto" w:fill="auto"/>
            <w:vAlign w:val="center"/>
          </w:tcPr>
          <w:p w14:paraId="0A633761">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对比分析部门2020年工作计划和2020年工作总结，以及重点工作落实情况</w:t>
            </w:r>
          </w:p>
        </w:tc>
        <w:tc>
          <w:tcPr>
            <w:tcW w:w="855" w:type="dxa"/>
            <w:shd w:val="clear" w:color="auto" w:fill="auto"/>
            <w:vAlign w:val="center"/>
          </w:tcPr>
          <w:p w14:paraId="1B503445">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3.00</w:t>
            </w:r>
          </w:p>
        </w:tc>
        <w:tc>
          <w:tcPr>
            <w:tcW w:w="880" w:type="dxa"/>
            <w:vAlign w:val="center"/>
          </w:tcPr>
          <w:p w14:paraId="6EF1FF19">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75%</w:t>
            </w:r>
          </w:p>
        </w:tc>
        <w:tc>
          <w:tcPr>
            <w:tcW w:w="3292" w:type="dxa"/>
            <w:shd w:val="clear" w:color="auto" w:fill="auto"/>
            <w:vAlign w:val="center"/>
          </w:tcPr>
          <w:p w14:paraId="54D45F96">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截止评价日，绿化示范点监测项目、退耕还林生态林抚育补助项目、慈竹7号引种项目已完成；第六次沙化监测工作未完成</w:t>
            </w:r>
          </w:p>
        </w:tc>
      </w:tr>
      <w:tr w14:paraId="03781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616" w:type="dxa"/>
            <w:vMerge w:val="continue"/>
            <w:vAlign w:val="center"/>
          </w:tcPr>
          <w:p w14:paraId="7CB898FE">
            <w:pPr>
              <w:widowControl/>
              <w:spacing w:line="240" w:lineRule="auto"/>
              <w:ind w:firstLine="0" w:firstLineChars="0"/>
              <w:jc w:val="center"/>
              <w:rPr>
                <w:rFonts w:eastAsia="宋体" w:cs="Times New Roman"/>
                <w:color w:val="000000"/>
                <w:kern w:val="0"/>
                <w:sz w:val="20"/>
                <w:szCs w:val="20"/>
              </w:rPr>
            </w:pPr>
          </w:p>
        </w:tc>
        <w:tc>
          <w:tcPr>
            <w:tcW w:w="598" w:type="dxa"/>
            <w:vMerge w:val="continue"/>
            <w:vAlign w:val="center"/>
          </w:tcPr>
          <w:p w14:paraId="50D251C4">
            <w:pPr>
              <w:widowControl/>
              <w:spacing w:line="240" w:lineRule="auto"/>
              <w:ind w:firstLine="0" w:firstLineChars="0"/>
              <w:jc w:val="center"/>
              <w:rPr>
                <w:rFonts w:eastAsia="宋体" w:cs="Times New Roman"/>
                <w:color w:val="000000"/>
                <w:kern w:val="0"/>
                <w:sz w:val="20"/>
                <w:szCs w:val="20"/>
              </w:rPr>
            </w:pPr>
          </w:p>
        </w:tc>
        <w:tc>
          <w:tcPr>
            <w:tcW w:w="903" w:type="dxa"/>
            <w:shd w:val="clear" w:color="auto" w:fill="auto"/>
            <w:vAlign w:val="center"/>
          </w:tcPr>
          <w:p w14:paraId="2F97B208">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提升野生动物收容救助率</w:t>
            </w:r>
          </w:p>
        </w:tc>
        <w:tc>
          <w:tcPr>
            <w:tcW w:w="526" w:type="dxa"/>
            <w:shd w:val="clear" w:color="auto" w:fill="auto"/>
            <w:vAlign w:val="center"/>
          </w:tcPr>
          <w:p w14:paraId="6995B0F9">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4</w:t>
            </w:r>
          </w:p>
        </w:tc>
        <w:tc>
          <w:tcPr>
            <w:tcW w:w="1040" w:type="dxa"/>
            <w:shd w:val="clear" w:color="auto" w:fill="auto"/>
            <w:vAlign w:val="center"/>
          </w:tcPr>
          <w:p w14:paraId="2EB33905">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是否加强野生动物收容救助</w:t>
            </w:r>
          </w:p>
        </w:tc>
        <w:tc>
          <w:tcPr>
            <w:tcW w:w="3947" w:type="dxa"/>
            <w:shd w:val="clear" w:color="auto" w:fill="auto"/>
            <w:vAlign w:val="center"/>
          </w:tcPr>
          <w:p w14:paraId="2C9F3242">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2020年收容救助野生动物数量大于2019年救助数量，得4分，小于或持平不得分。</w:t>
            </w:r>
          </w:p>
        </w:tc>
        <w:tc>
          <w:tcPr>
            <w:tcW w:w="1286" w:type="dxa"/>
            <w:shd w:val="clear" w:color="auto" w:fill="auto"/>
            <w:vAlign w:val="center"/>
          </w:tcPr>
          <w:p w14:paraId="7257E5B7">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对比分析部门2020年工作计划和2020年工作总结，以及重点工作落实情况</w:t>
            </w:r>
          </w:p>
        </w:tc>
        <w:tc>
          <w:tcPr>
            <w:tcW w:w="855" w:type="dxa"/>
            <w:shd w:val="clear" w:color="auto" w:fill="auto"/>
            <w:vAlign w:val="center"/>
          </w:tcPr>
          <w:p w14:paraId="31149238">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4.00</w:t>
            </w:r>
          </w:p>
        </w:tc>
        <w:tc>
          <w:tcPr>
            <w:tcW w:w="880" w:type="dxa"/>
            <w:vAlign w:val="center"/>
          </w:tcPr>
          <w:p w14:paraId="7D3A482E">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100%</w:t>
            </w:r>
          </w:p>
        </w:tc>
        <w:tc>
          <w:tcPr>
            <w:tcW w:w="3292" w:type="dxa"/>
            <w:shd w:val="clear" w:color="auto" w:fill="auto"/>
            <w:vAlign w:val="center"/>
          </w:tcPr>
          <w:p w14:paraId="3FF004BF">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2019年收容救助野生动物24次；</w:t>
            </w:r>
          </w:p>
          <w:p w14:paraId="75F2ECEC">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2020年收容救助野生动物35次。</w:t>
            </w:r>
          </w:p>
        </w:tc>
      </w:tr>
      <w:tr w14:paraId="1E3FA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jc w:val="center"/>
        </w:trPr>
        <w:tc>
          <w:tcPr>
            <w:tcW w:w="616" w:type="dxa"/>
            <w:vMerge w:val="continue"/>
            <w:vAlign w:val="center"/>
          </w:tcPr>
          <w:p w14:paraId="31E0FA00">
            <w:pPr>
              <w:widowControl/>
              <w:spacing w:line="240" w:lineRule="auto"/>
              <w:ind w:firstLine="0" w:firstLineChars="0"/>
              <w:jc w:val="center"/>
              <w:rPr>
                <w:rFonts w:eastAsia="宋体" w:cs="Times New Roman"/>
                <w:color w:val="000000"/>
                <w:kern w:val="0"/>
                <w:sz w:val="20"/>
                <w:szCs w:val="20"/>
              </w:rPr>
            </w:pPr>
          </w:p>
        </w:tc>
        <w:tc>
          <w:tcPr>
            <w:tcW w:w="598" w:type="dxa"/>
            <w:vMerge w:val="restart"/>
            <w:shd w:val="clear" w:color="auto" w:fill="auto"/>
            <w:vAlign w:val="center"/>
          </w:tcPr>
          <w:p w14:paraId="1EE3ACAA">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卫片执法</w:t>
            </w:r>
          </w:p>
        </w:tc>
        <w:tc>
          <w:tcPr>
            <w:tcW w:w="903" w:type="dxa"/>
            <w:shd w:val="clear" w:color="auto" w:fill="auto"/>
            <w:vAlign w:val="center"/>
          </w:tcPr>
          <w:p w14:paraId="1F63C75B">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法律法规宣传</w:t>
            </w:r>
          </w:p>
        </w:tc>
        <w:tc>
          <w:tcPr>
            <w:tcW w:w="526" w:type="dxa"/>
            <w:shd w:val="clear" w:color="auto" w:fill="auto"/>
            <w:vAlign w:val="center"/>
          </w:tcPr>
          <w:p w14:paraId="51E3C07B">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4</w:t>
            </w:r>
          </w:p>
        </w:tc>
        <w:tc>
          <w:tcPr>
            <w:tcW w:w="1040" w:type="dxa"/>
            <w:shd w:val="clear" w:color="auto" w:fill="auto"/>
            <w:vAlign w:val="center"/>
          </w:tcPr>
          <w:p w14:paraId="295C0108">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是否加强法律法规宣传</w:t>
            </w:r>
          </w:p>
        </w:tc>
        <w:tc>
          <w:tcPr>
            <w:tcW w:w="3947" w:type="dxa"/>
            <w:shd w:val="clear" w:color="auto" w:fill="auto"/>
            <w:vAlign w:val="center"/>
          </w:tcPr>
          <w:p w14:paraId="49A05B49">
            <w:pPr>
              <w:widowControl/>
              <w:spacing w:line="240" w:lineRule="auto"/>
              <w:ind w:firstLine="0" w:firstLineChars="0"/>
              <w:jc w:val="left"/>
              <w:rPr>
                <w:rFonts w:eastAsia="宋体" w:cs="Times New Roman"/>
                <w:color w:val="000000"/>
                <w:kern w:val="0"/>
                <w:sz w:val="20"/>
                <w:szCs w:val="20"/>
              </w:rPr>
            </w:pPr>
            <w:r>
              <w:rPr>
                <w:rFonts w:eastAsia="宋体" w:cs="Times New Roman"/>
                <w:color w:val="000000"/>
                <w:kern w:val="0"/>
                <w:sz w:val="20"/>
                <w:szCs w:val="20"/>
              </w:rPr>
              <w:t>按点给分。宣传途径≥2种，得2分。宣传活动≥3次，得4分。</w:t>
            </w:r>
          </w:p>
        </w:tc>
        <w:tc>
          <w:tcPr>
            <w:tcW w:w="1286" w:type="dxa"/>
            <w:shd w:val="clear" w:color="auto" w:fill="auto"/>
            <w:vAlign w:val="center"/>
          </w:tcPr>
          <w:p w14:paraId="27DACF05">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对比分析部门2020年工作计划和2020年工作总结，以及重点工作落实情况</w:t>
            </w:r>
          </w:p>
        </w:tc>
        <w:tc>
          <w:tcPr>
            <w:tcW w:w="855" w:type="dxa"/>
            <w:shd w:val="clear" w:color="auto" w:fill="auto"/>
            <w:vAlign w:val="center"/>
          </w:tcPr>
          <w:p w14:paraId="1044C1F2">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4.00</w:t>
            </w:r>
          </w:p>
        </w:tc>
        <w:tc>
          <w:tcPr>
            <w:tcW w:w="880" w:type="dxa"/>
            <w:vAlign w:val="center"/>
          </w:tcPr>
          <w:p w14:paraId="38D10D33">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100%</w:t>
            </w:r>
          </w:p>
        </w:tc>
        <w:tc>
          <w:tcPr>
            <w:tcW w:w="3292" w:type="dxa"/>
            <w:shd w:val="clear" w:color="auto" w:fill="auto"/>
            <w:vAlign w:val="center"/>
          </w:tcPr>
          <w:p w14:paraId="46F41E6A">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线上宣传与线下宣传相结合；6.25全国土地日系列宣传活动，12.4国家宪法日集中宣传活动；科技文化宣传“三下乡”等</w:t>
            </w:r>
          </w:p>
        </w:tc>
      </w:tr>
      <w:tr w14:paraId="52BFC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jc w:val="center"/>
        </w:trPr>
        <w:tc>
          <w:tcPr>
            <w:tcW w:w="616" w:type="dxa"/>
            <w:vMerge w:val="continue"/>
            <w:vAlign w:val="center"/>
          </w:tcPr>
          <w:p w14:paraId="0BFEAE17">
            <w:pPr>
              <w:widowControl/>
              <w:spacing w:line="240" w:lineRule="auto"/>
              <w:ind w:firstLine="0" w:firstLineChars="0"/>
              <w:jc w:val="center"/>
              <w:rPr>
                <w:rFonts w:eastAsia="宋体" w:cs="Times New Roman"/>
                <w:color w:val="000000"/>
                <w:kern w:val="0"/>
                <w:sz w:val="20"/>
                <w:szCs w:val="20"/>
              </w:rPr>
            </w:pPr>
          </w:p>
        </w:tc>
        <w:tc>
          <w:tcPr>
            <w:tcW w:w="598" w:type="dxa"/>
            <w:vMerge w:val="continue"/>
            <w:vAlign w:val="center"/>
          </w:tcPr>
          <w:p w14:paraId="44696CEA">
            <w:pPr>
              <w:widowControl/>
              <w:spacing w:line="240" w:lineRule="auto"/>
              <w:ind w:firstLine="0" w:firstLineChars="0"/>
              <w:jc w:val="center"/>
              <w:rPr>
                <w:rFonts w:eastAsia="宋体" w:cs="Times New Roman"/>
                <w:color w:val="000000"/>
                <w:kern w:val="0"/>
                <w:sz w:val="20"/>
                <w:szCs w:val="20"/>
              </w:rPr>
            </w:pPr>
          </w:p>
        </w:tc>
        <w:tc>
          <w:tcPr>
            <w:tcW w:w="903" w:type="dxa"/>
            <w:shd w:val="clear" w:color="auto" w:fill="auto"/>
            <w:vAlign w:val="center"/>
          </w:tcPr>
          <w:p w14:paraId="1B842E91">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动态巡察</w:t>
            </w:r>
          </w:p>
        </w:tc>
        <w:tc>
          <w:tcPr>
            <w:tcW w:w="526" w:type="dxa"/>
            <w:shd w:val="clear" w:color="auto" w:fill="auto"/>
            <w:vAlign w:val="center"/>
          </w:tcPr>
          <w:p w14:paraId="38FB372F">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4</w:t>
            </w:r>
          </w:p>
        </w:tc>
        <w:tc>
          <w:tcPr>
            <w:tcW w:w="1040" w:type="dxa"/>
            <w:shd w:val="clear" w:color="auto" w:fill="auto"/>
            <w:vAlign w:val="center"/>
          </w:tcPr>
          <w:p w14:paraId="1880DCFE">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是否加强动态巡察</w:t>
            </w:r>
          </w:p>
        </w:tc>
        <w:tc>
          <w:tcPr>
            <w:tcW w:w="3947" w:type="dxa"/>
            <w:shd w:val="clear" w:color="auto" w:fill="auto"/>
            <w:vAlign w:val="center"/>
          </w:tcPr>
          <w:p w14:paraId="22AACABA">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分层得分。全年动态巡察次数＜12次，不得分；12次≤次数＜24次，得2分；次数≥24次，得4分</w:t>
            </w:r>
          </w:p>
        </w:tc>
        <w:tc>
          <w:tcPr>
            <w:tcW w:w="1286" w:type="dxa"/>
            <w:shd w:val="clear" w:color="auto" w:fill="auto"/>
            <w:vAlign w:val="center"/>
          </w:tcPr>
          <w:p w14:paraId="0D2FFBDE">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对比分析部门2020年工作计划和2020年工作总结，以及重点工作落实情况</w:t>
            </w:r>
          </w:p>
        </w:tc>
        <w:tc>
          <w:tcPr>
            <w:tcW w:w="855" w:type="dxa"/>
            <w:shd w:val="clear" w:color="auto" w:fill="auto"/>
            <w:vAlign w:val="center"/>
          </w:tcPr>
          <w:p w14:paraId="04DE3344">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4.00</w:t>
            </w:r>
          </w:p>
        </w:tc>
        <w:tc>
          <w:tcPr>
            <w:tcW w:w="880" w:type="dxa"/>
            <w:vAlign w:val="center"/>
          </w:tcPr>
          <w:p w14:paraId="5B617358">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100%</w:t>
            </w:r>
          </w:p>
        </w:tc>
        <w:tc>
          <w:tcPr>
            <w:tcW w:w="3292" w:type="dxa"/>
            <w:shd w:val="clear" w:color="auto" w:fill="auto"/>
            <w:vAlign w:val="center"/>
          </w:tcPr>
          <w:p w14:paraId="4492E749">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平均每个月巡查超过20次</w:t>
            </w:r>
          </w:p>
        </w:tc>
      </w:tr>
      <w:tr w14:paraId="1E784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jc w:val="center"/>
        </w:trPr>
        <w:tc>
          <w:tcPr>
            <w:tcW w:w="616" w:type="dxa"/>
            <w:vMerge w:val="continue"/>
            <w:vAlign w:val="center"/>
          </w:tcPr>
          <w:p w14:paraId="2138699A">
            <w:pPr>
              <w:widowControl/>
              <w:spacing w:line="240" w:lineRule="auto"/>
              <w:ind w:firstLine="0" w:firstLineChars="0"/>
              <w:jc w:val="center"/>
              <w:rPr>
                <w:rFonts w:eastAsia="宋体" w:cs="Times New Roman"/>
                <w:color w:val="000000"/>
                <w:kern w:val="0"/>
                <w:sz w:val="20"/>
                <w:szCs w:val="20"/>
              </w:rPr>
            </w:pPr>
          </w:p>
        </w:tc>
        <w:tc>
          <w:tcPr>
            <w:tcW w:w="598" w:type="dxa"/>
            <w:vMerge w:val="restart"/>
            <w:shd w:val="clear" w:color="auto" w:fill="auto"/>
            <w:vAlign w:val="center"/>
          </w:tcPr>
          <w:p w14:paraId="0C38047A">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廉政建设与意识形态工作</w:t>
            </w:r>
          </w:p>
        </w:tc>
        <w:tc>
          <w:tcPr>
            <w:tcW w:w="903" w:type="dxa"/>
            <w:shd w:val="clear" w:color="auto" w:fill="auto"/>
            <w:noWrap/>
            <w:vAlign w:val="center"/>
          </w:tcPr>
          <w:p w14:paraId="5C107364">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压紧管党治党政治责任</w:t>
            </w:r>
          </w:p>
        </w:tc>
        <w:tc>
          <w:tcPr>
            <w:tcW w:w="526" w:type="dxa"/>
            <w:shd w:val="clear" w:color="auto" w:fill="auto"/>
            <w:vAlign w:val="center"/>
          </w:tcPr>
          <w:p w14:paraId="7E27B092">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4</w:t>
            </w:r>
          </w:p>
        </w:tc>
        <w:tc>
          <w:tcPr>
            <w:tcW w:w="1040" w:type="dxa"/>
            <w:shd w:val="clear" w:color="auto" w:fill="auto"/>
            <w:vAlign w:val="center"/>
          </w:tcPr>
          <w:p w14:paraId="53ADCACC">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是否加强党风廉政建设</w:t>
            </w:r>
          </w:p>
        </w:tc>
        <w:tc>
          <w:tcPr>
            <w:tcW w:w="3947" w:type="dxa"/>
            <w:shd w:val="clear" w:color="auto" w:fill="auto"/>
            <w:vAlign w:val="center"/>
          </w:tcPr>
          <w:p w14:paraId="4D49D464">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是否有切实措辞开展活动加强党风廉政建设</w:t>
            </w:r>
          </w:p>
        </w:tc>
        <w:tc>
          <w:tcPr>
            <w:tcW w:w="1286" w:type="dxa"/>
            <w:shd w:val="clear" w:color="auto" w:fill="auto"/>
            <w:vAlign w:val="center"/>
          </w:tcPr>
          <w:p w14:paraId="2465E9D4">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对比分析部门2020年工作计划和2020年工作总结，以及重点工作落实情况</w:t>
            </w:r>
          </w:p>
        </w:tc>
        <w:tc>
          <w:tcPr>
            <w:tcW w:w="855" w:type="dxa"/>
            <w:shd w:val="clear" w:color="auto" w:fill="auto"/>
            <w:vAlign w:val="center"/>
          </w:tcPr>
          <w:p w14:paraId="74C83A43">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4.00</w:t>
            </w:r>
          </w:p>
        </w:tc>
        <w:tc>
          <w:tcPr>
            <w:tcW w:w="880" w:type="dxa"/>
            <w:vAlign w:val="center"/>
          </w:tcPr>
          <w:p w14:paraId="40700AC9">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100%</w:t>
            </w:r>
          </w:p>
        </w:tc>
        <w:tc>
          <w:tcPr>
            <w:tcW w:w="3292" w:type="dxa"/>
            <w:shd w:val="clear" w:color="auto" w:fill="auto"/>
            <w:vAlign w:val="center"/>
          </w:tcPr>
          <w:p w14:paraId="255A90F8">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全年开展3次集体廉政谈话</w:t>
            </w:r>
          </w:p>
        </w:tc>
      </w:tr>
      <w:tr w14:paraId="3614C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616" w:type="dxa"/>
            <w:vMerge w:val="continue"/>
            <w:vAlign w:val="center"/>
          </w:tcPr>
          <w:p w14:paraId="0821F60B">
            <w:pPr>
              <w:widowControl/>
              <w:spacing w:line="240" w:lineRule="auto"/>
              <w:ind w:firstLine="0" w:firstLineChars="0"/>
              <w:jc w:val="center"/>
              <w:rPr>
                <w:rFonts w:eastAsia="宋体" w:cs="Times New Roman"/>
                <w:color w:val="000000"/>
                <w:kern w:val="0"/>
                <w:sz w:val="20"/>
                <w:szCs w:val="20"/>
              </w:rPr>
            </w:pPr>
          </w:p>
        </w:tc>
        <w:tc>
          <w:tcPr>
            <w:tcW w:w="598" w:type="dxa"/>
            <w:vMerge w:val="continue"/>
            <w:vAlign w:val="center"/>
          </w:tcPr>
          <w:p w14:paraId="19E8C722">
            <w:pPr>
              <w:widowControl/>
              <w:spacing w:line="240" w:lineRule="auto"/>
              <w:ind w:firstLine="0" w:firstLineChars="0"/>
              <w:jc w:val="center"/>
              <w:rPr>
                <w:rFonts w:eastAsia="宋体" w:cs="Times New Roman"/>
                <w:color w:val="000000"/>
                <w:kern w:val="0"/>
                <w:sz w:val="20"/>
                <w:szCs w:val="20"/>
              </w:rPr>
            </w:pPr>
          </w:p>
        </w:tc>
        <w:tc>
          <w:tcPr>
            <w:tcW w:w="903" w:type="dxa"/>
            <w:shd w:val="clear" w:color="auto" w:fill="auto"/>
            <w:vAlign w:val="center"/>
          </w:tcPr>
          <w:p w14:paraId="122C339A">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加强廉政风险防控</w:t>
            </w:r>
          </w:p>
        </w:tc>
        <w:tc>
          <w:tcPr>
            <w:tcW w:w="526" w:type="dxa"/>
            <w:shd w:val="clear" w:color="auto" w:fill="auto"/>
            <w:vAlign w:val="center"/>
          </w:tcPr>
          <w:p w14:paraId="44C46307">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4</w:t>
            </w:r>
          </w:p>
        </w:tc>
        <w:tc>
          <w:tcPr>
            <w:tcW w:w="1040" w:type="dxa"/>
            <w:shd w:val="clear" w:color="auto" w:fill="auto"/>
            <w:vAlign w:val="center"/>
          </w:tcPr>
          <w:p w14:paraId="3D17D358">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是否加强廉政风险防控</w:t>
            </w:r>
          </w:p>
        </w:tc>
        <w:tc>
          <w:tcPr>
            <w:tcW w:w="3947" w:type="dxa"/>
            <w:shd w:val="clear" w:color="auto" w:fill="auto"/>
            <w:vAlign w:val="center"/>
          </w:tcPr>
          <w:p w14:paraId="56139B9A">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是否出台加强廉政风险防控的相关文件，文件内容是否有助于加强廉政风险防控。</w:t>
            </w:r>
          </w:p>
        </w:tc>
        <w:tc>
          <w:tcPr>
            <w:tcW w:w="1286" w:type="dxa"/>
            <w:shd w:val="clear" w:color="auto" w:fill="auto"/>
            <w:vAlign w:val="center"/>
          </w:tcPr>
          <w:p w14:paraId="49454B78">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对比分析部门2020年工作计划和2020年工作总结，以及重点工作落实情况</w:t>
            </w:r>
          </w:p>
        </w:tc>
        <w:tc>
          <w:tcPr>
            <w:tcW w:w="855" w:type="dxa"/>
            <w:shd w:val="clear" w:color="auto" w:fill="auto"/>
            <w:vAlign w:val="center"/>
          </w:tcPr>
          <w:p w14:paraId="026D2359">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4.00</w:t>
            </w:r>
          </w:p>
        </w:tc>
        <w:tc>
          <w:tcPr>
            <w:tcW w:w="880" w:type="dxa"/>
            <w:vAlign w:val="center"/>
          </w:tcPr>
          <w:p w14:paraId="2FF1BE43">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100%</w:t>
            </w:r>
          </w:p>
        </w:tc>
        <w:tc>
          <w:tcPr>
            <w:tcW w:w="3292" w:type="dxa"/>
            <w:shd w:val="clear" w:color="auto" w:fill="auto"/>
            <w:vAlign w:val="center"/>
          </w:tcPr>
          <w:p w14:paraId="681CDB45">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部门党组印发了《中共绵竹市自然资源和规划局党组关于印发&lt;关于推进2020年全面从严治党、党风廉政建设和反腐败工作的实施意见&gt;的通知》（竹自然资党组〔2020〕19号），深入贯彻落实新时代党的建设总要求和党中央全面从严治党的方针。</w:t>
            </w:r>
          </w:p>
        </w:tc>
      </w:tr>
      <w:tr w14:paraId="24BC8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16" w:type="dxa"/>
            <w:vMerge w:val="continue"/>
            <w:vAlign w:val="center"/>
          </w:tcPr>
          <w:p w14:paraId="5674890C">
            <w:pPr>
              <w:widowControl/>
              <w:spacing w:line="240" w:lineRule="auto"/>
              <w:ind w:firstLine="0" w:firstLineChars="0"/>
              <w:jc w:val="center"/>
              <w:rPr>
                <w:rFonts w:eastAsia="宋体" w:cs="Times New Roman"/>
                <w:color w:val="000000"/>
                <w:kern w:val="0"/>
                <w:sz w:val="20"/>
                <w:szCs w:val="20"/>
              </w:rPr>
            </w:pPr>
          </w:p>
        </w:tc>
        <w:tc>
          <w:tcPr>
            <w:tcW w:w="598" w:type="dxa"/>
            <w:shd w:val="clear" w:color="auto" w:fill="auto"/>
            <w:vAlign w:val="center"/>
          </w:tcPr>
          <w:p w14:paraId="4FBA6295">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土地基金收入</w:t>
            </w:r>
          </w:p>
        </w:tc>
        <w:tc>
          <w:tcPr>
            <w:tcW w:w="903" w:type="dxa"/>
            <w:shd w:val="clear" w:color="auto" w:fill="auto"/>
            <w:vAlign w:val="center"/>
          </w:tcPr>
          <w:p w14:paraId="3C64C412">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2020年土地基金收入任务完成率</w:t>
            </w:r>
          </w:p>
        </w:tc>
        <w:tc>
          <w:tcPr>
            <w:tcW w:w="526" w:type="dxa"/>
            <w:shd w:val="clear" w:color="auto" w:fill="auto"/>
            <w:vAlign w:val="center"/>
          </w:tcPr>
          <w:p w14:paraId="00C2CD7F">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6</w:t>
            </w:r>
          </w:p>
        </w:tc>
        <w:tc>
          <w:tcPr>
            <w:tcW w:w="1040" w:type="dxa"/>
            <w:shd w:val="clear" w:color="auto" w:fill="auto"/>
            <w:vAlign w:val="center"/>
          </w:tcPr>
          <w:p w14:paraId="4C522447">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是否完成年初设定的土地基金收入任务。</w:t>
            </w:r>
          </w:p>
        </w:tc>
        <w:tc>
          <w:tcPr>
            <w:tcW w:w="3947" w:type="dxa"/>
            <w:shd w:val="clear" w:color="auto" w:fill="auto"/>
            <w:vAlign w:val="center"/>
          </w:tcPr>
          <w:p w14:paraId="064698E8">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是否评分法，完成年初设定任务得4分，未完成不得分</w:t>
            </w:r>
          </w:p>
        </w:tc>
        <w:tc>
          <w:tcPr>
            <w:tcW w:w="1286" w:type="dxa"/>
            <w:shd w:val="clear" w:color="auto" w:fill="auto"/>
            <w:vAlign w:val="center"/>
          </w:tcPr>
          <w:p w14:paraId="5D64A471">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对比分析部门2020年工作计划和2020年工作总结，以及重点工作落实情况</w:t>
            </w:r>
          </w:p>
        </w:tc>
        <w:tc>
          <w:tcPr>
            <w:tcW w:w="855" w:type="dxa"/>
            <w:shd w:val="clear" w:color="auto" w:fill="auto"/>
            <w:vAlign w:val="center"/>
          </w:tcPr>
          <w:p w14:paraId="79056AAC">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6.00</w:t>
            </w:r>
          </w:p>
        </w:tc>
        <w:tc>
          <w:tcPr>
            <w:tcW w:w="880" w:type="dxa"/>
            <w:vAlign w:val="center"/>
          </w:tcPr>
          <w:p w14:paraId="5FDA50B4">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100%</w:t>
            </w:r>
          </w:p>
        </w:tc>
        <w:tc>
          <w:tcPr>
            <w:tcW w:w="3292" w:type="dxa"/>
            <w:shd w:val="clear" w:color="auto" w:fill="auto"/>
            <w:vAlign w:val="center"/>
          </w:tcPr>
          <w:p w14:paraId="5556EBEC">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年初计划：7.13亿</w:t>
            </w:r>
          </w:p>
          <w:p w14:paraId="02A5911C">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实际完成7.13亿</w:t>
            </w:r>
          </w:p>
        </w:tc>
      </w:tr>
      <w:tr w14:paraId="7DE61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jc w:val="center"/>
        </w:trPr>
        <w:tc>
          <w:tcPr>
            <w:tcW w:w="616" w:type="dxa"/>
            <w:vMerge w:val="continue"/>
            <w:vAlign w:val="center"/>
          </w:tcPr>
          <w:p w14:paraId="6E9B1B46">
            <w:pPr>
              <w:widowControl/>
              <w:spacing w:line="240" w:lineRule="auto"/>
              <w:ind w:firstLine="0" w:firstLineChars="0"/>
              <w:jc w:val="center"/>
              <w:rPr>
                <w:rFonts w:eastAsia="宋体" w:cs="Times New Roman"/>
                <w:color w:val="000000"/>
                <w:kern w:val="0"/>
                <w:sz w:val="20"/>
                <w:szCs w:val="20"/>
              </w:rPr>
            </w:pPr>
          </w:p>
        </w:tc>
        <w:tc>
          <w:tcPr>
            <w:tcW w:w="598" w:type="dxa"/>
            <w:vMerge w:val="restart"/>
            <w:shd w:val="clear" w:color="auto" w:fill="auto"/>
            <w:vAlign w:val="center"/>
          </w:tcPr>
          <w:p w14:paraId="4F723CAC">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专项整治</w:t>
            </w:r>
          </w:p>
        </w:tc>
        <w:tc>
          <w:tcPr>
            <w:tcW w:w="903" w:type="dxa"/>
            <w:shd w:val="clear" w:color="auto" w:fill="auto"/>
            <w:vAlign w:val="center"/>
          </w:tcPr>
          <w:p w14:paraId="6C8E7038">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大棚房专项清理整治行动</w:t>
            </w:r>
          </w:p>
        </w:tc>
        <w:tc>
          <w:tcPr>
            <w:tcW w:w="526" w:type="dxa"/>
            <w:shd w:val="clear" w:color="auto" w:fill="auto"/>
            <w:vAlign w:val="center"/>
          </w:tcPr>
          <w:p w14:paraId="2F73F71A">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4</w:t>
            </w:r>
          </w:p>
        </w:tc>
        <w:tc>
          <w:tcPr>
            <w:tcW w:w="1040" w:type="dxa"/>
            <w:shd w:val="clear" w:color="auto" w:fill="auto"/>
            <w:vAlign w:val="center"/>
          </w:tcPr>
          <w:p w14:paraId="0EDB6382">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是否开展大棚房专项清理整治行动</w:t>
            </w:r>
          </w:p>
        </w:tc>
        <w:tc>
          <w:tcPr>
            <w:tcW w:w="3947" w:type="dxa"/>
            <w:shd w:val="clear" w:color="auto" w:fill="auto"/>
            <w:vAlign w:val="center"/>
          </w:tcPr>
          <w:p w14:paraId="11853B82">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是否评分法，是否开展大棚房专项清理整治行动。开展得4分，未开展不得分。</w:t>
            </w:r>
          </w:p>
        </w:tc>
        <w:tc>
          <w:tcPr>
            <w:tcW w:w="1286" w:type="dxa"/>
            <w:shd w:val="clear" w:color="auto" w:fill="auto"/>
            <w:vAlign w:val="center"/>
          </w:tcPr>
          <w:p w14:paraId="3F48B66E">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对比分析部门2020年工作计划和2020年工作总结，以及重点工作落实情况</w:t>
            </w:r>
          </w:p>
        </w:tc>
        <w:tc>
          <w:tcPr>
            <w:tcW w:w="855" w:type="dxa"/>
            <w:shd w:val="clear" w:color="auto" w:fill="auto"/>
            <w:vAlign w:val="center"/>
          </w:tcPr>
          <w:p w14:paraId="638B6962">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4.00</w:t>
            </w:r>
          </w:p>
        </w:tc>
        <w:tc>
          <w:tcPr>
            <w:tcW w:w="880" w:type="dxa"/>
            <w:vAlign w:val="center"/>
          </w:tcPr>
          <w:p w14:paraId="7656C31E">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100%</w:t>
            </w:r>
          </w:p>
        </w:tc>
        <w:tc>
          <w:tcPr>
            <w:tcW w:w="3292" w:type="dxa"/>
            <w:shd w:val="clear" w:color="auto" w:fill="auto"/>
            <w:vAlign w:val="center"/>
          </w:tcPr>
          <w:p w14:paraId="79885307">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开展了绵竹市大棚房问题专项清理整治行动。</w:t>
            </w:r>
          </w:p>
        </w:tc>
      </w:tr>
      <w:tr w14:paraId="5653A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616" w:type="dxa"/>
            <w:vMerge w:val="continue"/>
            <w:vAlign w:val="center"/>
          </w:tcPr>
          <w:p w14:paraId="7F962395">
            <w:pPr>
              <w:widowControl/>
              <w:spacing w:line="240" w:lineRule="auto"/>
              <w:ind w:firstLine="0" w:firstLineChars="0"/>
              <w:jc w:val="center"/>
              <w:rPr>
                <w:rFonts w:eastAsia="宋体" w:cs="Times New Roman"/>
                <w:color w:val="000000"/>
                <w:kern w:val="0"/>
                <w:sz w:val="20"/>
                <w:szCs w:val="20"/>
              </w:rPr>
            </w:pPr>
          </w:p>
        </w:tc>
        <w:tc>
          <w:tcPr>
            <w:tcW w:w="598" w:type="dxa"/>
            <w:vMerge w:val="continue"/>
            <w:vAlign w:val="center"/>
          </w:tcPr>
          <w:p w14:paraId="3DE01586">
            <w:pPr>
              <w:widowControl/>
              <w:spacing w:line="240" w:lineRule="auto"/>
              <w:ind w:firstLine="0" w:firstLineChars="0"/>
              <w:jc w:val="center"/>
              <w:rPr>
                <w:rFonts w:eastAsia="宋体" w:cs="Times New Roman"/>
                <w:color w:val="000000"/>
                <w:kern w:val="0"/>
                <w:sz w:val="20"/>
                <w:szCs w:val="20"/>
              </w:rPr>
            </w:pPr>
          </w:p>
        </w:tc>
        <w:tc>
          <w:tcPr>
            <w:tcW w:w="903" w:type="dxa"/>
            <w:shd w:val="clear" w:color="auto" w:fill="auto"/>
            <w:vAlign w:val="center"/>
          </w:tcPr>
          <w:p w14:paraId="58A67C09">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违建别墅整治任务</w:t>
            </w:r>
          </w:p>
        </w:tc>
        <w:tc>
          <w:tcPr>
            <w:tcW w:w="526" w:type="dxa"/>
            <w:shd w:val="clear" w:color="auto" w:fill="auto"/>
            <w:vAlign w:val="center"/>
          </w:tcPr>
          <w:p w14:paraId="05F1549E">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4</w:t>
            </w:r>
          </w:p>
        </w:tc>
        <w:tc>
          <w:tcPr>
            <w:tcW w:w="1040" w:type="dxa"/>
            <w:shd w:val="clear" w:color="auto" w:fill="auto"/>
            <w:vAlign w:val="center"/>
          </w:tcPr>
          <w:p w14:paraId="1647E1BB">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是否开展违建别墅整治行动</w:t>
            </w:r>
          </w:p>
        </w:tc>
        <w:tc>
          <w:tcPr>
            <w:tcW w:w="3947" w:type="dxa"/>
            <w:shd w:val="clear" w:color="auto" w:fill="auto"/>
            <w:vAlign w:val="center"/>
          </w:tcPr>
          <w:p w14:paraId="5EAB7C7A">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是否评分法，是否开展违建别墅整治行动。开展得4分，未开展不得分。</w:t>
            </w:r>
          </w:p>
        </w:tc>
        <w:tc>
          <w:tcPr>
            <w:tcW w:w="1286" w:type="dxa"/>
            <w:shd w:val="clear" w:color="auto" w:fill="auto"/>
            <w:vAlign w:val="center"/>
          </w:tcPr>
          <w:p w14:paraId="73D34157">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对比分析部门2020年工作计划和2020年工作总结，以及重点工作落实情况</w:t>
            </w:r>
          </w:p>
        </w:tc>
        <w:tc>
          <w:tcPr>
            <w:tcW w:w="855" w:type="dxa"/>
            <w:shd w:val="clear" w:color="auto" w:fill="auto"/>
            <w:vAlign w:val="center"/>
          </w:tcPr>
          <w:p w14:paraId="0A7E8B76">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4.00</w:t>
            </w:r>
          </w:p>
        </w:tc>
        <w:tc>
          <w:tcPr>
            <w:tcW w:w="880" w:type="dxa"/>
            <w:vAlign w:val="center"/>
          </w:tcPr>
          <w:p w14:paraId="33B8F43A">
            <w:pPr>
              <w:widowControl/>
              <w:spacing w:line="240" w:lineRule="auto"/>
              <w:ind w:firstLine="0" w:firstLineChars="0"/>
              <w:jc w:val="center"/>
              <w:rPr>
                <w:rFonts w:eastAsia="宋体" w:cs="Times New Roman"/>
                <w:color w:val="000000"/>
                <w:kern w:val="0"/>
                <w:sz w:val="20"/>
                <w:szCs w:val="20"/>
              </w:rPr>
            </w:pPr>
            <w:r>
              <w:rPr>
                <w:rFonts w:eastAsia="宋体" w:cs="Times New Roman"/>
                <w:color w:val="000000"/>
                <w:kern w:val="0"/>
                <w:sz w:val="20"/>
                <w:szCs w:val="20"/>
              </w:rPr>
              <w:t>100%</w:t>
            </w:r>
          </w:p>
        </w:tc>
        <w:tc>
          <w:tcPr>
            <w:tcW w:w="3292" w:type="dxa"/>
            <w:shd w:val="clear" w:color="auto" w:fill="auto"/>
            <w:vAlign w:val="center"/>
          </w:tcPr>
          <w:p w14:paraId="597E1E0D">
            <w:pPr>
              <w:widowControl/>
              <w:spacing w:line="240" w:lineRule="auto"/>
              <w:ind w:firstLine="0" w:firstLineChars="0"/>
              <w:rPr>
                <w:rFonts w:eastAsia="宋体" w:cs="Times New Roman"/>
                <w:color w:val="000000"/>
                <w:kern w:val="0"/>
                <w:sz w:val="20"/>
                <w:szCs w:val="20"/>
              </w:rPr>
            </w:pPr>
            <w:r>
              <w:rPr>
                <w:rFonts w:eastAsia="宋体" w:cs="Times New Roman"/>
                <w:color w:val="000000"/>
                <w:kern w:val="0"/>
                <w:sz w:val="20"/>
                <w:szCs w:val="20"/>
              </w:rPr>
              <w:t>开展了绵竹市违建别墅问题清查整治专项行动，并成立了领导小组，召开违建别墅清查整治工作研判会。截止2020年3月共计清理上报违建别墅3个，采取拆除措施2个，采取既没收并罚款1个。</w:t>
            </w:r>
          </w:p>
        </w:tc>
      </w:tr>
      <w:tr w14:paraId="4A55E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117" w:type="dxa"/>
            <w:gridSpan w:val="3"/>
            <w:shd w:val="clear" w:color="auto" w:fill="auto"/>
            <w:noWrap/>
            <w:vAlign w:val="center"/>
          </w:tcPr>
          <w:p w14:paraId="637D556A">
            <w:pPr>
              <w:widowControl/>
              <w:spacing w:line="240" w:lineRule="auto"/>
              <w:ind w:firstLine="0" w:firstLineChars="0"/>
              <w:jc w:val="center"/>
              <w:rPr>
                <w:rFonts w:eastAsia="宋体" w:cs="Times New Roman"/>
                <w:b/>
                <w:bCs/>
                <w:color w:val="000000"/>
                <w:kern w:val="0"/>
                <w:sz w:val="20"/>
                <w:szCs w:val="20"/>
              </w:rPr>
            </w:pPr>
            <w:r>
              <w:rPr>
                <w:rFonts w:eastAsia="宋体" w:cs="Times New Roman"/>
                <w:b/>
                <w:bCs/>
                <w:color w:val="000000"/>
                <w:kern w:val="0"/>
                <w:sz w:val="20"/>
                <w:szCs w:val="20"/>
              </w:rPr>
              <w:t>合计</w:t>
            </w:r>
          </w:p>
        </w:tc>
        <w:tc>
          <w:tcPr>
            <w:tcW w:w="526" w:type="dxa"/>
            <w:shd w:val="clear" w:color="auto" w:fill="auto"/>
            <w:noWrap/>
            <w:vAlign w:val="center"/>
          </w:tcPr>
          <w:p w14:paraId="5A42B087">
            <w:pPr>
              <w:widowControl/>
              <w:spacing w:line="240" w:lineRule="auto"/>
              <w:ind w:firstLine="0" w:firstLineChars="0"/>
              <w:jc w:val="center"/>
              <w:rPr>
                <w:rFonts w:eastAsia="宋体" w:cs="Times New Roman"/>
                <w:b/>
                <w:bCs/>
                <w:color w:val="000000"/>
                <w:kern w:val="0"/>
                <w:sz w:val="20"/>
                <w:szCs w:val="20"/>
              </w:rPr>
            </w:pPr>
            <w:r>
              <w:rPr>
                <w:rFonts w:eastAsia="宋体" w:cs="Times New Roman"/>
                <w:b/>
                <w:bCs/>
                <w:color w:val="000000"/>
                <w:kern w:val="0"/>
                <w:sz w:val="20"/>
                <w:szCs w:val="20"/>
              </w:rPr>
              <w:t>100</w:t>
            </w:r>
          </w:p>
        </w:tc>
        <w:tc>
          <w:tcPr>
            <w:tcW w:w="6273" w:type="dxa"/>
            <w:gridSpan w:val="3"/>
            <w:shd w:val="clear" w:color="auto" w:fill="auto"/>
            <w:noWrap/>
            <w:vAlign w:val="center"/>
          </w:tcPr>
          <w:p w14:paraId="4B7B0FE5">
            <w:pPr>
              <w:widowControl/>
              <w:spacing w:line="240" w:lineRule="auto"/>
              <w:ind w:firstLine="0" w:firstLineChars="0"/>
              <w:jc w:val="center"/>
              <w:rPr>
                <w:rFonts w:eastAsia="宋体" w:cs="Times New Roman"/>
                <w:b/>
                <w:bCs/>
                <w:color w:val="000000"/>
                <w:kern w:val="0"/>
                <w:sz w:val="20"/>
                <w:szCs w:val="20"/>
              </w:rPr>
            </w:pPr>
            <w:r>
              <w:rPr>
                <w:rFonts w:eastAsia="宋体" w:cs="Times New Roman"/>
                <w:b/>
                <w:bCs/>
                <w:color w:val="000000"/>
                <w:kern w:val="0"/>
                <w:sz w:val="20"/>
                <w:szCs w:val="20"/>
              </w:rPr>
              <w:t>—</w:t>
            </w:r>
          </w:p>
        </w:tc>
        <w:tc>
          <w:tcPr>
            <w:tcW w:w="855" w:type="dxa"/>
            <w:shd w:val="clear" w:color="auto" w:fill="auto"/>
            <w:vAlign w:val="center"/>
          </w:tcPr>
          <w:p w14:paraId="4B1DB0C3">
            <w:pPr>
              <w:widowControl/>
              <w:spacing w:line="240" w:lineRule="auto"/>
              <w:ind w:firstLine="0" w:firstLineChars="0"/>
              <w:jc w:val="center"/>
              <w:rPr>
                <w:rFonts w:eastAsia="宋体" w:cs="Times New Roman"/>
                <w:b/>
                <w:bCs/>
                <w:color w:val="000000"/>
                <w:kern w:val="0"/>
                <w:sz w:val="20"/>
                <w:szCs w:val="20"/>
              </w:rPr>
            </w:pPr>
            <w:r>
              <w:rPr>
                <w:rFonts w:eastAsia="宋体" w:cs="Times New Roman"/>
                <w:b/>
                <w:bCs/>
                <w:color w:val="000000"/>
                <w:kern w:val="0"/>
                <w:sz w:val="20"/>
                <w:szCs w:val="20"/>
              </w:rPr>
              <w:t>88.45</w:t>
            </w:r>
          </w:p>
        </w:tc>
        <w:tc>
          <w:tcPr>
            <w:tcW w:w="880" w:type="dxa"/>
            <w:vAlign w:val="center"/>
          </w:tcPr>
          <w:p w14:paraId="4D130A3F">
            <w:pPr>
              <w:widowControl/>
              <w:spacing w:line="240" w:lineRule="auto"/>
              <w:ind w:firstLine="0" w:firstLineChars="0"/>
              <w:jc w:val="center"/>
              <w:rPr>
                <w:rFonts w:eastAsia="宋体" w:cs="Times New Roman"/>
                <w:b/>
                <w:bCs/>
                <w:color w:val="000000"/>
                <w:kern w:val="0"/>
                <w:sz w:val="20"/>
                <w:szCs w:val="20"/>
              </w:rPr>
            </w:pPr>
          </w:p>
        </w:tc>
        <w:tc>
          <w:tcPr>
            <w:tcW w:w="3292" w:type="dxa"/>
            <w:vAlign w:val="center"/>
          </w:tcPr>
          <w:p w14:paraId="6E7CF1D1">
            <w:pPr>
              <w:widowControl/>
              <w:spacing w:line="240" w:lineRule="auto"/>
              <w:ind w:firstLine="0" w:firstLineChars="0"/>
              <w:jc w:val="center"/>
              <w:rPr>
                <w:rFonts w:eastAsia="宋体" w:cs="Times New Roman"/>
                <w:b/>
                <w:bCs/>
                <w:color w:val="000000"/>
                <w:kern w:val="0"/>
                <w:sz w:val="20"/>
                <w:szCs w:val="20"/>
              </w:rPr>
            </w:pPr>
            <w:r>
              <w:rPr>
                <w:rFonts w:eastAsia="宋体" w:cs="Times New Roman"/>
                <w:b/>
                <w:bCs/>
                <w:color w:val="000000"/>
                <w:kern w:val="0"/>
                <w:sz w:val="20"/>
                <w:szCs w:val="20"/>
              </w:rPr>
              <w:t>—</w:t>
            </w:r>
          </w:p>
        </w:tc>
      </w:tr>
    </w:tbl>
    <w:p w14:paraId="5C29DDA0">
      <w:pPr>
        <w:ind w:firstLine="0" w:firstLineChars="0"/>
      </w:pPr>
    </w:p>
    <w:sectPr>
      <w:pgSz w:w="16838" w:h="11906" w:orient="landscape"/>
      <w:pgMar w:top="1797" w:right="1440" w:bottom="1797" w:left="1440" w:header="851" w:footer="992" w:gutter="0"/>
      <w:cols w:space="425"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script"/>
    <w:pitch w:val="default"/>
    <w:sig w:usb0="00000000" w:usb1="00000000" w:usb2="00000010" w:usb3="00000000" w:csb0="00040001" w:csb1="00000000"/>
  </w:font>
  <w:font w:name="小标宋">
    <w:altName w:val="宋体"/>
    <w:panose1 w:val="00000000000000000000"/>
    <w:charset w:val="86"/>
    <w:family w:val="roma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80678287"/>
      <w:docPartObj>
        <w:docPartGallery w:val="autotext"/>
      </w:docPartObj>
    </w:sdtPr>
    <w:sdtContent>
      <w:p w14:paraId="44D56B84">
        <w:pPr>
          <w:pStyle w:val="12"/>
          <w:ind w:firstLine="360"/>
          <w:jc w:val="center"/>
        </w:pPr>
        <w:r>
          <w:fldChar w:fldCharType="begin"/>
        </w:r>
        <w:r>
          <w:instrText xml:space="preserve">PAGE   \* MERGEFORMAT</w:instrText>
        </w:r>
        <w:r>
          <w:fldChar w:fldCharType="separate"/>
        </w:r>
        <w:r>
          <w:rPr>
            <w:lang w:val="zh-CN"/>
          </w:rPr>
          <w:t>1</w:t>
        </w:r>
        <w:r>
          <w:fldChar w:fldCharType="end"/>
        </w:r>
      </w:p>
    </w:sdtContent>
  </w:sdt>
  <w:p w14:paraId="4A8A758D">
    <w:pPr>
      <w:pStyle w:val="1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22ED3">
    <w:pPr>
      <w:pStyle w:val="1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AF014">
    <w:pPr>
      <w:pStyle w:val="1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line="240" w:lineRule="auto"/>
        <w:ind w:firstLine="560"/>
      </w:pPr>
      <w:r>
        <w:separator/>
      </w:r>
    </w:p>
  </w:footnote>
  <w:footnote w:type="continuationSeparator" w:id="3">
    <w:p>
      <w:pPr>
        <w:spacing w:line="240" w:lineRule="auto"/>
        <w:ind w:firstLine="560"/>
      </w:pPr>
      <w:r>
        <w:continuationSeparator/>
      </w:r>
    </w:p>
  </w:footnote>
  <w:footnote w:id="0">
    <w:p w14:paraId="225C1098">
      <w:pPr>
        <w:pStyle w:val="16"/>
      </w:pPr>
      <w:r>
        <w:rPr>
          <w:rStyle w:val="27"/>
        </w:rPr>
        <w:footnoteRef/>
      </w:r>
      <w:r>
        <w:rPr>
          <w:rFonts w:hint="eastAsia"/>
        </w:rPr>
        <w:t xml:space="preserve">  评价结果分为优、良、中、低、差五个档次。其中：优（得分≥90），良（90&gt;得分≥80），中（80&gt;得分≥70），低（70&gt;得分≥50），差（得分&lt;50）。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95F0D">
    <w:pPr>
      <w:pStyle w:val="13"/>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79E6D">
    <w:pPr>
      <w:pStyle w:val="1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C7FAA">
    <w:pPr>
      <w:pStyle w:val="1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2"/>
    <w:footnote w:id="3"/>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M0NmM1YWQ3ZjJmY2RiOWNiZjg2MTAxYjY1NjYxMWYifQ=="/>
  </w:docVars>
  <w:rsids>
    <w:rsidRoot w:val="001E7155"/>
    <w:rsid w:val="0000225B"/>
    <w:rsid w:val="000022FA"/>
    <w:rsid w:val="000123EA"/>
    <w:rsid w:val="00013E63"/>
    <w:rsid w:val="00017D50"/>
    <w:rsid w:val="00022BEB"/>
    <w:rsid w:val="00025CF8"/>
    <w:rsid w:val="00036089"/>
    <w:rsid w:val="00037681"/>
    <w:rsid w:val="000458F2"/>
    <w:rsid w:val="000464DE"/>
    <w:rsid w:val="00046604"/>
    <w:rsid w:val="0005750F"/>
    <w:rsid w:val="000643B0"/>
    <w:rsid w:val="00083174"/>
    <w:rsid w:val="000873AD"/>
    <w:rsid w:val="000A02E5"/>
    <w:rsid w:val="000A32C1"/>
    <w:rsid w:val="000B2F2A"/>
    <w:rsid w:val="000B6BF0"/>
    <w:rsid w:val="000B7A47"/>
    <w:rsid w:val="000E352C"/>
    <w:rsid w:val="00102479"/>
    <w:rsid w:val="00103473"/>
    <w:rsid w:val="00130569"/>
    <w:rsid w:val="00131C8D"/>
    <w:rsid w:val="001430F4"/>
    <w:rsid w:val="001470F8"/>
    <w:rsid w:val="0015066F"/>
    <w:rsid w:val="0015548E"/>
    <w:rsid w:val="00156B34"/>
    <w:rsid w:val="00161AE2"/>
    <w:rsid w:val="00166600"/>
    <w:rsid w:val="00187BCC"/>
    <w:rsid w:val="001973DD"/>
    <w:rsid w:val="001A6749"/>
    <w:rsid w:val="001C2943"/>
    <w:rsid w:val="001C344D"/>
    <w:rsid w:val="001D5A3C"/>
    <w:rsid w:val="001D5CE4"/>
    <w:rsid w:val="001E7155"/>
    <w:rsid w:val="001F311D"/>
    <w:rsid w:val="001F592E"/>
    <w:rsid w:val="00215E57"/>
    <w:rsid w:val="00241E2B"/>
    <w:rsid w:val="00242A11"/>
    <w:rsid w:val="002431FE"/>
    <w:rsid w:val="002435EA"/>
    <w:rsid w:val="00243BB0"/>
    <w:rsid w:val="002477BD"/>
    <w:rsid w:val="0025423E"/>
    <w:rsid w:val="00254812"/>
    <w:rsid w:val="0025658B"/>
    <w:rsid w:val="002702EC"/>
    <w:rsid w:val="0027613E"/>
    <w:rsid w:val="002807EF"/>
    <w:rsid w:val="002816F0"/>
    <w:rsid w:val="002914EC"/>
    <w:rsid w:val="002973C8"/>
    <w:rsid w:val="00297461"/>
    <w:rsid w:val="002A05DF"/>
    <w:rsid w:val="002A2EC9"/>
    <w:rsid w:val="002A2FF4"/>
    <w:rsid w:val="002B149F"/>
    <w:rsid w:val="002B740F"/>
    <w:rsid w:val="002C1DBC"/>
    <w:rsid w:val="002C277B"/>
    <w:rsid w:val="002C315E"/>
    <w:rsid w:val="002C4F1E"/>
    <w:rsid w:val="002C5C25"/>
    <w:rsid w:val="002C6A55"/>
    <w:rsid w:val="002D5BA1"/>
    <w:rsid w:val="002E018B"/>
    <w:rsid w:val="002E4AC2"/>
    <w:rsid w:val="002F241E"/>
    <w:rsid w:val="00304CB7"/>
    <w:rsid w:val="003070E8"/>
    <w:rsid w:val="00310ED4"/>
    <w:rsid w:val="00313888"/>
    <w:rsid w:val="00320397"/>
    <w:rsid w:val="00327DF8"/>
    <w:rsid w:val="0034185B"/>
    <w:rsid w:val="00344226"/>
    <w:rsid w:val="00344886"/>
    <w:rsid w:val="003622C8"/>
    <w:rsid w:val="0036429A"/>
    <w:rsid w:val="003653DB"/>
    <w:rsid w:val="00377A73"/>
    <w:rsid w:val="00384A16"/>
    <w:rsid w:val="003B6D9E"/>
    <w:rsid w:val="003B7123"/>
    <w:rsid w:val="003B7824"/>
    <w:rsid w:val="003C025F"/>
    <w:rsid w:val="003C4B26"/>
    <w:rsid w:val="003C6C22"/>
    <w:rsid w:val="003D38B5"/>
    <w:rsid w:val="003E26E6"/>
    <w:rsid w:val="003E4DF7"/>
    <w:rsid w:val="003E60F0"/>
    <w:rsid w:val="003E6A7D"/>
    <w:rsid w:val="003F1C61"/>
    <w:rsid w:val="003F4163"/>
    <w:rsid w:val="003F6B2D"/>
    <w:rsid w:val="0040022A"/>
    <w:rsid w:val="004129DD"/>
    <w:rsid w:val="0041577E"/>
    <w:rsid w:val="00421E94"/>
    <w:rsid w:val="00422B42"/>
    <w:rsid w:val="00422BF6"/>
    <w:rsid w:val="00430331"/>
    <w:rsid w:val="00431D3E"/>
    <w:rsid w:val="00432CD1"/>
    <w:rsid w:val="00435801"/>
    <w:rsid w:val="00435902"/>
    <w:rsid w:val="004546A5"/>
    <w:rsid w:val="00455FF0"/>
    <w:rsid w:val="004606A0"/>
    <w:rsid w:val="00462347"/>
    <w:rsid w:val="00462F4E"/>
    <w:rsid w:val="00463A70"/>
    <w:rsid w:val="00465CE2"/>
    <w:rsid w:val="00474365"/>
    <w:rsid w:val="00483874"/>
    <w:rsid w:val="00493D35"/>
    <w:rsid w:val="004945A3"/>
    <w:rsid w:val="004952EA"/>
    <w:rsid w:val="004A79B3"/>
    <w:rsid w:val="004B7AB9"/>
    <w:rsid w:val="004F0EAA"/>
    <w:rsid w:val="004F2DC3"/>
    <w:rsid w:val="004F4F60"/>
    <w:rsid w:val="005017F5"/>
    <w:rsid w:val="00514E37"/>
    <w:rsid w:val="00520755"/>
    <w:rsid w:val="00520A15"/>
    <w:rsid w:val="0054468A"/>
    <w:rsid w:val="0055177C"/>
    <w:rsid w:val="005529C6"/>
    <w:rsid w:val="00555151"/>
    <w:rsid w:val="005661B7"/>
    <w:rsid w:val="00567A64"/>
    <w:rsid w:val="00570FF4"/>
    <w:rsid w:val="0059425E"/>
    <w:rsid w:val="005A5FA5"/>
    <w:rsid w:val="005A6306"/>
    <w:rsid w:val="005A6ADC"/>
    <w:rsid w:val="005B0104"/>
    <w:rsid w:val="005D1D3F"/>
    <w:rsid w:val="005D6B02"/>
    <w:rsid w:val="005E4539"/>
    <w:rsid w:val="005F45DD"/>
    <w:rsid w:val="00601560"/>
    <w:rsid w:val="006037F0"/>
    <w:rsid w:val="00616269"/>
    <w:rsid w:val="00633F44"/>
    <w:rsid w:val="00641A78"/>
    <w:rsid w:val="00644739"/>
    <w:rsid w:val="0064603F"/>
    <w:rsid w:val="00646595"/>
    <w:rsid w:val="00646986"/>
    <w:rsid w:val="00647223"/>
    <w:rsid w:val="006542BF"/>
    <w:rsid w:val="006669A7"/>
    <w:rsid w:val="00667D55"/>
    <w:rsid w:val="00680355"/>
    <w:rsid w:val="006870A4"/>
    <w:rsid w:val="0068766B"/>
    <w:rsid w:val="0069631B"/>
    <w:rsid w:val="00697082"/>
    <w:rsid w:val="006A5455"/>
    <w:rsid w:val="006B0B54"/>
    <w:rsid w:val="006B2BF6"/>
    <w:rsid w:val="006D344B"/>
    <w:rsid w:val="00721F05"/>
    <w:rsid w:val="00734E45"/>
    <w:rsid w:val="007508FB"/>
    <w:rsid w:val="0075358B"/>
    <w:rsid w:val="00753EF6"/>
    <w:rsid w:val="00754269"/>
    <w:rsid w:val="00761E76"/>
    <w:rsid w:val="00763505"/>
    <w:rsid w:val="00766138"/>
    <w:rsid w:val="00773CE4"/>
    <w:rsid w:val="0078147B"/>
    <w:rsid w:val="00782403"/>
    <w:rsid w:val="007840D4"/>
    <w:rsid w:val="00790ACB"/>
    <w:rsid w:val="00791CCE"/>
    <w:rsid w:val="00795818"/>
    <w:rsid w:val="007A652B"/>
    <w:rsid w:val="007B2958"/>
    <w:rsid w:val="007C0B1F"/>
    <w:rsid w:val="007D1286"/>
    <w:rsid w:val="007D2F2D"/>
    <w:rsid w:val="007E04CF"/>
    <w:rsid w:val="007E1FDB"/>
    <w:rsid w:val="007E2FAE"/>
    <w:rsid w:val="007E4941"/>
    <w:rsid w:val="007E4C7C"/>
    <w:rsid w:val="007F0A24"/>
    <w:rsid w:val="007F10FF"/>
    <w:rsid w:val="007F56E4"/>
    <w:rsid w:val="0080539F"/>
    <w:rsid w:val="008057B4"/>
    <w:rsid w:val="008146C2"/>
    <w:rsid w:val="00817373"/>
    <w:rsid w:val="00822404"/>
    <w:rsid w:val="00842BD2"/>
    <w:rsid w:val="00842F10"/>
    <w:rsid w:val="00844A38"/>
    <w:rsid w:val="00853F8E"/>
    <w:rsid w:val="00867511"/>
    <w:rsid w:val="00880D11"/>
    <w:rsid w:val="0088642B"/>
    <w:rsid w:val="0088758E"/>
    <w:rsid w:val="008A0431"/>
    <w:rsid w:val="008A44DC"/>
    <w:rsid w:val="008C67CA"/>
    <w:rsid w:val="008C76C5"/>
    <w:rsid w:val="008D27CC"/>
    <w:rsid w:val="008D2A15"/>
    <w:rsid w:val="008D63B1"/>
    <w:rsid w:val="008E1B3D"/>
    <w:rsid w:val="008E4AC1"/>
    <w:rsid w:val="008F106D"/>
    <w:rsid w:val="008F7E65"/>
    <w:rsid w:val="009018DD"/>
    <w:rsid w:val="00907324"/>
    <w:rsid w:val="00915DD7"/>
    <w:rsid w:val="009178B1"/>
    <w:rsid w:val="0092671F"/>
    <w:rsid w:val="00932DC2"/>
    <w:rsid w:val="00942554"/>
    <w:rsid w:val="0095254A"/>
    <w:rsid w:val="0095530D"/>
    <w:rsid w:val="00961B4E"/>
    <w:rsid w:val="0096268A"/>
    <w:rsid w:val="00966DB2"/>
    <w:rsid w:val="00972446"/>
    <w:rsid w:val="0097253E"/>
    <w:rsid w:val="00981BBE"/>
    <w:rsid w:val="00985B91"/>
    <w:rsid w:val="009A0A3B"/>
    <w:rsid w:val="009A4E1D"/>
    <w:rsid w:val="009A4FC1"/>
    <w:rsid w:val="009A6801"/>
    <w:rsid w:val="009A6CDE"/>
    <w:rsid w:val="009B6196"/>
    <w:rsid w:val="009C53A5"/>
    <w:rsid w:val="009D63C7"/>
    <w:rsid w:val="00A024A2"/>
    <w:rsid w:val="00A038E4"/>
    <w:rsid w:val="00A053B5"/>
    <w:rsid w:val="00A06988"/>
    <w:rsid w:val="00A10616"/>
    <w:rsid w:val="00A261C5"/>
    <w:rsid w:val="00A37918"/>
    <w:rsid w:val="00A452A2"/>
    <w:rsid w:val="00A51E1F"/>
    <w:rsid w:val="00A57073"/>
    <w:rsid w:val="00A71F2C"/>
    <w:rsid w:val="00A74B8C"/>
    <w:rsid w:val="00A81F9E"/>
    <w:rsid w:val="00A8261D"/>
    <w:rsid w:val="00A8323D"/>
    <w:rsid w:val="00A91607"/>
    <w:rsid w:val="00AA0EAB"/>
    <w:rsid w:val="00AA5B27"/>
    <w:rsid w:val="00AB0F97"/>
    <w:rsid w:val="00AC4C94"/>
    <w:rsid w:val="00AD477C"/>
    <w:rsid w:val="00AE5849"/>
    <w:rsid w:val="00AF2126"/>
    <w:rsid w:val="00AF6683"/>
    <w:rsid w:val="00B013FD"/>
    <w:rsid w:val="00B10CCB"/>
    <w:rsid w:val="00B242B1"/>
    <w:rsid w:val="00B271F0"/>
    <w:rsid w:val="00B344EA"/>
    <w:rsid w:val="00B45F10"/>
    <w:rsid w:val="00B50459"/>
    <w:rsid w:val="00B51140"/>
    <w:rsid w:val="00B541C0"/>
    <w:rsid w:val="00B61395"/>
    <w:rsid w:val="00B66BC2"/>
    <w:rsid w:val="00B7199D"/>
    <w:rsid w:val="00B75C88"/>
    <w:rsid w:val="00B9124C"/>
    <w:rsid w:val="00B951B7"/>
    <w:rsid w:val="00BA27D0"/>
    <w:rsid w:val="00BB03AC"/>
    <w:rsid w:val="00BB19E1"/>
    <w:rsid w:val="00BB41B3"/>
    <w:rsid w:val="00BB6F28"/>
    <w:rsid w:val="00BC1D78"/>
    <w:rsid w:val="00BD2984"/>
    <w:rsid w:val="00BD31FC"/>
    <w:rsid w:val="00BD59EE"/>
    <w:rsid w:val="00BD62B1"/>
    <w:rsid w:val="00BF0AB3"/>
    <w:rsid w:val="00BF6416"/>
    <w:rsid w:val="00C06135"/>
    <w:rsid w:val="00C11276"/>
    <w:rsid w:val="00C116D3"/>
    <w:rsid w:val="00C26B99"/>
    <w:rsid w:val="00C32651"/>
    <w:rsid w:val="00C32780"/>
    <w:rsid w:val="00C32865"/>
    <w:rsid w:val="00C372EB"/>
    <w:rsid w:val="00C42C4B"/>
    <w:rsid w:val="00C4312D"/>
    <w:rsid w:val="00C51BCC"/>
    <w:rsid w:val="00C53046"/>
    <w:rsid w:val="00C574AA"/>
    <w:rsid w:val="00C64D8A"/>
    <w:rsid w:val="00C67067"/>
    <w:rsid w:val="00C92A9C"/>
    <w:rsid w:val="00C96B25"/>
    <w:rsid w:val="00CA3D51"/>
    <w:rsid w:val="00CB7CBA"/>
    <w:rsid w:val="00CC2A6A"/>
    <w:rsid w:val="00CC3A89"/>
    <w:rsid w:val="00CE2AFD"/>
    <w:rsid w:val="00CE6120"/>
    <w:rsid w:val="00CF3E5C"/>
    <w:rsid w:val="00CF7F21"/>
    <w:rsid w:val="00D06B50"/>
    <w:rsid w:val="00D115DD"/>
    <w:rsid w:val="00D2263F"/>
    <w:rsid w:val="00D22D1C"/>
    <w:rsid w:val="00D24C1E"/>
    <w:rsid w:val="00D25773"/>
    <w:rsid w:val="00D310BE"/>
    <w:rsid w:val="00D32764"/>
    <w:rsid w:val="00D32C38"/>
    <w:rsid w:val="00D34D91"/>
    <w:rsid w:val="00D44E70"/>
    <w:rsid w:val="00D468B3"/>
    <w:rsid w:val="00D51BB0"/>
    <w:rsid w:val="00D52BEE"/>
    <w:rsid w:val="00D54C67"/>
    <w:rsid w:val="00D6140F"/>
    <w:rsid w:val="00D66BB2"/>
    <w:rsid w:val="00D671D6"/>
    <w:rsid w:val="00D75089"/>
    <w:rsid w:val="00D9299A"/>
    <w:rsid w:val="00DA0E41"/>
    <w:rsid w:val="00DA531F"/>
    <w:rsid w:val="00DB3FC5"/>
    <w:rsid w:val="00DB4606"/>
    <w:rsid w:val="00DC4BAF"/>
    <w:rsid w:val="00DC50F8"/>
    <w:rsid w:val="00DE08D2"/>
    <w:rsid w:val="00DE3055"/>
    <w:rsid w:val="00DE7826"/>
    <w:rsid w:val="00DF11E2"/>
    <w:rsid w:val="00E16B7E"/>
    <w:rsid w:val="00E34CF4"/>
    <w:rsid w:val="00E37768"/>
    <w:rsid w:val="00E43B65"/>
    <w:rsid w:val="00E459E9"/>
    <w:rsid w:val="00E539A4"/>
    <w:rsid w:val="00E70FD2"/>
    <w:rsid w:val="00E77127"/>
    <w:rsid w:val="00E81B87"/>
    <w:rsid w:val="00E87760"/>
    <w:rsid w:val="00E91E4F"/>
    <w:rsid w:val="00E9227E"/>
    <w:rsid w:val="00E97844"/>
    <w:rsid w:val="00EA02E6"/>
    <w:rsid w:val="00EB0625"/>
    <w:rsid w:val="00EB164C"/>
    <w:rsid w:val="00EB2488"/>
    <w:rsid w:val="00EB2B25"/>
    <w:rsid w:val="00EB4476"/>
    <w:rsid w:val="00EB574B"/>
    <w:rsid w:val="00EC34A9"/>
    <w:rsid w:val="00EC3E48"/>
    <w:rsid w:val="00EC7E45"/>
    <w:rsid w:val="00EE1E14"/>
    <w:rsid w:val="00EF2502"/>
    <w:rsid w:val="00F004F2"/>
    <w:rsid w:val="00F05A8D"/>
    <w:rsid w:val="00F068D2"/>
    <w:rsid w:val="00F1096E"/>
    <w:rsid w:val="00F2612C"/>
    <w:rsid w:val="00F451D9"/>
    <w:rsid w:val="00F56AF1"/>
    <w:rsid w:val="00F64E4A"/>
    <w:rsid w:val="00F719C4"/>
    <w:rsid w:val="00F7294F"/>
    <w:rsid w:val="00F745A9"/>
    <w:rsid w:val="00F94F28"/>
    <w:rsid w:val="00F9609F"/>
    <w:rsid w:val="00F97BD8"/>
    <w:rsid w:val="00FA2E4E"/>
    <w:rsid w:val="00FA6D7F"/>
    <w:rsid w:val="00FB4CC0"/>
    <w:rsid w:val="00FC3DD9"/>
    <w:rsid w:val="00FC7EC9"/>
    <w:rsid w:val="00FD4165"/>
    <w:rsid w:val="00FD45A8"/>
    <w:rsid w:val="035D498E"/>
    <w:rsid w:val="24E9786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uiPriority="39" w:semiHidden="0" w:name="toc 3"/>
    <w:lsdException w:uiPriority="39" w:semiHidden="0" w:name="toc 4"/>
    <w:lsdException w:qFormat="1" w:uiPriority="39" w:semiHidden="0" w:name="toc 5"/>
    <w:lsdException w:qFormat="1" w:uiPriority="39" w:semiHidden="0" w:name="toc 6"/>
    <w:lsdException w:uiPriority="39" w:semiHidden="0" w:name="toc 7"/>
    <w:lsdException w:qFormat="1" w:uiPriority="39" w:semiHidden="0" w:name="toc 8"/>
    <w:lsdException w:qFormat="1" w:uiPriority="39" w:semiHidden="0" w:name="toc 9"/>
    <w:lsdException w:uiPriority="99"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200" w:firstLineChars="200"/>
      <w:jc w:val="both"/>
    </w:pPr>
    <w:rPr>
      <w:rFonts w:ascii="Times New Roman" w:hAnsi="Times New Roman" w:eastAsia="楷体" w:cstheme="minorBidi"/>
      <w:kern w:val="2"/>
      <w:sz w:val="28"/>
      <w:szCs w:val="22"/>
      <w:lang w:val="en-US" w:eastAsia="zh-CN" w:bidi="ar-SA"/>
    </w:rPr>
  </w:style>
  <w:style w:type="paragraph" w:styleId="2">
    <w:name w:val="heading 1"/>
    <w:basedOn w:val="1"/>
    <w:next w:val="1"/>
    <w:link w:val="30"/>
    <w:qFormat/>
    <w:uiPriority w:val="9"/>
    <w:pPr>
      <w:keepNext/>
      <w:keepLines/>
      <w:ind w:firstLine="0" w:firstLineChars="0"/>
      <w:jc w:val="left"/>
      <w:outlineLvl w:val="0"/>
    </w:pPr>
    <w:rPr>
      <w:rFonts w:eastAsia="黑体"/>
      <w:b/>
      <w:bCs/>
      <w:kern w:val="44"/>
      <w:szCs w:val="44"/>
    </w:rPr>
  </w:style>
  <w:style w:type="paragraph" w:styleId="3">
    <w:name w:val="heading 2"/>
    <w:basedOn w:val="1"/>
    <w:next w:val="1"/>
    <w:link w:val="28"/>
    <w:unhideWhenUsed/>
    <w:qFormat/>
    <w:uiPriority w:val="9"/>
    <w:pPr>
      <w:keepNext/>
      <w:keepLines/>
      <w:ind w:firstLine="0" w:firstLineChars="0"/>
      <w:jc w:val="left"/>
      <w:outlineLvl w:val="1"/>
    </w:pPr>
    <w:rPr>
      <w:rFonts w:cstheme="majorBidi"/>
      <w:b/>
      <w:bCs/>
      <w:szCs w:val="32"/>
    </w:rPr>
  </w:style>
  <w:style w:type="paragraph" w:styleId="4">
    <w:name w:val="heading 3"/>
    <w:basedOn w:val="1"/>
    <w:next w:val="1"/>
    <w:link w:val="32"/>
    <w:unhideWhenUsed/>
    <w:qFormat/>
    <w:uiPriority w:val="9"/>
    <w:pPr>
      <w:keepNext/>
      <w:keepLines/>
      <w:ind w:firstLine="0" w:firstLineChars="0"/>
      <w:outlineLvl w:val="2"/>
    </w:pPr>
    <w:rPr>
      <w:rFonts w:ascii="等线" w:hAnsi="等线" w:eastAsia="等线"/>
      <w:b/>
      <w:bCs/>
      <w:sz w:val="21"/>
      <w:szCs w:val="3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autoRedefine/>
    <w:unhideWhenUsed/>
    <w:uiPriority w:val="39"/>
    <w:pPr>
      <w:ind w:left="1680"/>
      <w:jc w:val="left"/>
    </w:pPr>
    <w:rPr>
      <w:rFonts w:asciiTheme="minorHAnsi" w:eastAsiaTheme="minorHAnsi"/>
      <w:sz w:val="18"/>
      <w:szCs w:val="18"/>
    </w:rPr>
  </w:style>
  <w:style w:type="paragraph" w:styleId="6">
    <w:name w:val="annotation text"/>
    <w:basedOn w:val="1"/>
    <w:link w:val="33"/>
    <w:qFormat/>
    <w:uiPriority w:val="0"/>
    <w:pPr>
      <w:spacing w:line="240" w:lineRule="auto"/>
      <w:ind w:firstLine="0" w:firstLineChars="0"/>
      <w:jc w:val="left"/>
    </w:pPr>
    <w:rPr>
      <w:rFonts w:asciiTheme="minorHAnsi" w:hAnsiTheme="minorHAnsi" w:eastAsiaTheme="minorEastAsia"/>
      <w:sz w:val="21"/>
      <w:szCs w:val="24"/>
    </w:rPr>
  </w:style>
  <w:style w:type="paragraph" w:styleId="7">
    <w:name w:val="toc 5"/>
    <w:basedOn w:val="1"/>
    <w:next w:val="1"/>
    <w:autoRedefine/>
    <w:unhideWhenUsed/>
    <w:qFormat/>
    <w:uiPriority w:val="39"/>
    <w:pPr>
      <w:ind w:left="1120"/>
      <w:jc w:val="left"/>
    </w:pPr>
    <w:rPr>
      <w:rFonts w:asciiTheme="minorHAnsi" w:eastAsiaTheme="minorHAnsi"/>
      <w:sz w:val="18"/>
      <w:szCs w:val="18"/>
    </w:rPr>
  </w:style>
  <w:style w:type="paragraph" w:styleId="8">
    <w:name w:val="toc 3"/>
    <w:basedOn w:val="1"/>
    <w:next w:val="1"/>
    <w:autoRedefine/>
    <w:unhideWhenUsed/>
    <w:uiPriority w:val="39"/>
    <w:pPr>
      <w:ind w:left="560"/>
      <w:jc w:val="left"/>
    </w:pPr>
    <w:rPr>
      <w:rFonts w:asciiTheme="minorHAnsi" w:eastAsiaTheme="minorHAnsi"/>
      <w:i/>
      <w:iCs/>
      <w:sz w:val="20"/>
      <w:szCs w:val="20"/>
    </w:rPr>
  </w:style>
  <w:style w:type="paragraph" w:styleId="9">
    <w:name w:val="toc 8"/>
    <w:basedOn w:val="1"/>
    <w:next w:val="1"/>
    <w:autoRedefine/>
    <w:unhideWhenUsed/>
    <w:qFormat/>
    <w:uiPriority w:val="39"/>
    <w:pPr>
      <w:ind w:left="1960"/>
      <w:jc w:val="left"/>
    </w:pPr>
    <w:rPr>
      <w:rFonts w:asciiTheme="minorHAnsi" w:eastAsiaTheme="minorHAnsi"/>
      <w:sz w:val="18"/>
      <w:szCs w:val="18"/>
    </w:rPr>
  </w:style>
  <w:style w:type="paragraph" w:styleId="10">
    <w:name w:val="Date"/>
    <w:basedOn w:val="1"/>
    <w:next w:val="1"/>
    <w:link w:val="29"/>
    <w:semiHidden/>
    <w:unhideWhenUsed/>
    <w:qFormat/>
    <w:uiPriority w:val="99"/>
    <w:pPr>
      <w:ind w:left="100" w:leftChars="2500"/>
    </w:pPr>
  </w:style>
  <w:style w:type="paragraph" w:styleId="11">
    <w:name w:val="Balloon Text"/>
    <w:basedOn w:val="1"/>
    <w:link w:val="31"/>
    <w:semiHidden/>
    <w:unhideWhenUsed/>
    <w:uiPriority w:val="99"/>
    <w:pPr>
      <w:spacing w:line="240" w:lineRule="auto"/>
    </w:pPr>
    <w:rPr>
      <w:sz w:val="18"/>
      <w:szCs w:val="18"/>
    </w:rPr>
  </w:style>
  <w:style w:type="paragraph" w:styleId="12">
    <w:name w:val="footer"/>
    <w:basedOn w:val="1"/>
    <w:link w:val="38"/>
    <w:unhideWhenUsed/>
    <w:qFormat/>
    <w:uiPriority w:val="99"/>
    <w:pPr>
      <w:tabs>
        <w:tab w:val="center" w:pos="4153"/>
        <w:tab w:val="right" w:pos="8306"/>
      </w:tabs>
      <w:snapToGrid w:val="0"/>
      <w:spacing w:line="240" w:lineRule="atLeast"/>
      <w:jc w:val="left"/>
    </w:pPr>
    <w:rPr>
      <w:sz w:val="18"/>
      <w:szCs w:val="18"/>
    </w:rPr>
  </w:style>
  <w:style w:type="paragraph" w:styleId="13">
    <w:name w:val="header"/>
    <w:basedOn w:val="1"/>
    <w:link w:val="37"/>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14">
    <w:name w:val="toc 1"/>
    <w:basedOn w:val="1"/>
    <w:next w:val="1"/>
    <w:autoRedefine/>
    <w:unhideWhenUsed/>
    <w:uiPriority w:val="39"/>
    <w:pPr>
      <w:tabs>
        <w:tab w:val="right" w:leader="dot" w:pos="8296"/>
      </w:tabs>
      <w:spacing w:before="120" w:after="120" w:line="480" w:lineRule="exact"/>
      <w:ind w:firstLine="400"/>
      <w:jc w:val="left"/>
    </w:pPr>
    <w:rPr>
      <w:rFonts w:asciiTheme="minorHAnsi" w:eastAsiaTheme="minorHAnsi"/>
      <w:b/>
      <w:bCs/>
      <w:caps/>
      <w:sz w:val="20"/>
      <w:szCs w:val="20"/>
    </w:rPr>
  </w:style>
  <w:style w:type="paragraph" w:styleId="15">
    <w:name w:val="toc 4"/>
    <w:basedOn w:val="1"/>
    <w:next w:val="1"/>
    <w:autoRedefine/>
    <w:unhideWhenUsed/>
    <w:uiPriority w:val="39"/>
    <w:pPr>
      <w:ind w:left="840"/>
      <w:jc w:val="left"/>
    </w:pPr>
    <w:rPr>
      <w:rFonts w:asciiTheme="minorHAnsi" w:eastAsiaTheme="minorHAnsi"/>
      <w:sz w:val="18"/>
      <w:szCs w:val="18"/>
    </w:rPr>
  </w:style>
  <w:style w:type="paragraph" w:styleId="16">
    <w:name w:val="footnote text"/>
    <w:basedOn w:val="1"/>
    <w:link w:val="36"/>
    <w:qFormat/>
    <w:uiPriority w:val="0"/>
    <w:pPr>
      <w:snapToGrid w:val="0"/>
      <w:spacing w:line="240" w:lineRule="auto"/>
      <w:ind w:firstLine="0" w:firstLineChars="0"/>
      <w:jc w:val="left"/>
    </w:pPr>
    <w:rPr>
      <w:rFonts w:asciiTheme="minorHAnsi" w:hAnsiTheme="minorHAnsi" w:eastAsiaTheme="minorEastAsia"/>
      <w:sz w:val="18"/>
      <w:szCs w:val="18"/>
    </w:rPr>
  </w:style>
  <w:style w:type="paragraph" w:styleId="17">
    <w:name w:val="toc 6"/>
    <w:basedOn w:val="1"/>
    <w:next w:val="1"/>
    <w:autoRedefine/>
    <w:unhideWhenUsed/>
    <w:qFormat/>
    <w:uiPriority w:val="39"/>
    <w:pPr>
      <w:ind w:left="1400"/>
      <w:jc w:val="left"/>
    </w:pPr>
    <w:rPr>
      <w:rFonts w:asciiTheme="minorHAnsi" w:eastAsiaTheme="minorHAnsi"/>
      <w:sz w:val="18"/>
      <w:szCs w:val="18"/>
    </w:rPr>
  </w:style>
  <w:style w:type="paragraph" w:styleId="18">
    <w:name w:val="toc 2"/>
    <w:basedOn w:val="1"/>
    <w:next w:val="1"/>
    <w:autoRedefine/>
    <w:unhideWhenUsed/>
    <w:qFormat/>
    <w:uiPriority w:val="39"/>
    <w:pPr>
      <w:ind w:left="280"/>
      <w:jc w:val="left"/>
    </w:pPr>
    <w:rPr>
      <w:rFonts w:asciiTheme="minorHAnsi" w:eastAsiaTheme="minorHAnsi"/>
      <w:smallCaps/>
      <w:sz w:val="20"/>
      <w:szCs w:val="20"/>
    </w:rPr>
  </w:style>
  <w:style w:type="paragraph" w:styleId="19">
    <w:name w:val="toc 9"/>
    <w:basedOn w:val="1"/>
    <w:next w:val="1"/>
    <w:autoRedefine/>
    <w:unhideWhenUsed/>
    <w:qFormat/>
    <w:uiPriority w:val="39"/>
    <w:pPr>
      <w:ind w:left="2240"/>
      <w:jc w:val="left"/>
    </w:pPr>
    <w:rPr>
      <w:rFonts w:asciiTheme="minorHAnsi" w:eastAsiaTheme="minorHAnsi"/>
      <w:sz w:val="18"/>
      <w:szCs w:val="18"/>
    </w:rPr>
  </w:style>
  <w:style w:type="paragraph" w:styleId="20">
    <w:name w:val="Normal (Web)"/>
    <w:basedOn w:val="1"/>
    <w:unhideWhenUsed/>
    <w:uiPriority w:val="99"/>
    <w:pPr>
      <w:widowControl/>
      <w:spacing w:before="100" w:beforeAutospacing="1" w:after="100" w:afterAutospacing="1" w:line="240" w:lineRule="auto"/>
      <w:ind w:firstLine="0" w:firstLineChars="0"/>
      <w:jc w:val="left"/>
    </w:pPr>
    <w:rPr>
      <w:rFonts w:ascii="宋体" w:hAnsi="宋体" w:eastAsia="宋体" w:cs="宋体"/>
      <w:kern w:val="0"/>
      <w:sz w:val="24"/>
      <w:szCs w:val="24"/>
    </w:rPr>
  </w:style>
  <w:style w:type="paragraph" w:styleId="21">
    <w:name w:val="annotation subject"/>
    <w:basedOn w:val="6"/>
    <w:next w:val="6"/>
    <w:link w:val="35"/>
    <w:semiHidden/>
    <w:unhideWhenUsed/>
    <w:qFormat/>
    <w:uiPriority w:val="99"/>
    <w:pPr>
      <w:spacing w:line="560" w:lineRule="exact"/>
      <w:ind w:firstLine="200" w:firstLineChars="200"/>
    </w:pPr>
    <w:rPr>
      <w:rFonts w:ascii="Times New Roman" w:hAnsi="Times New Roman" w:eastAsia="楷体"/>
      <w:b/>
      <w:bCs/>
      <w:sz w:val="28"/>
      <w:szCs w:val="22"/>
    </w:rPr>
  </w:style>
  <w:style w:type="table" w:styleId="23">
    <w:name w:val="Table Grid"/>
    <w:basedOn w:val="22"/>
    <w:uiPriority w:val="0"/>
    <w:rPr>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unhideWhenUsed/>
    <w:qFormat/>
    <w:uiPriority w:val="99"/>
    <w:rPr>
      <w:color w:val="0563C1" w:themeColor="hyperlink"/>
      <w:u w:val="single"/>
    </w:rPr>
  </w:style>
  <w:style w:type="character" w:styleId="26">
    <w:name w:val="annotation reference"/>
    <w:basedOn w:val="24"/>
    <w:unhideWhenUsed/>
    <w:qFormat/>
    <w:uiPriority w:val="0"/>
    <w:rPr>
      <w:sz w:val="21"/>
      <w:szCs w:val="21"/>
    </w:rPr>
  </w:style>
  <w:style w:type="character" w:styleId="27">
    <w:name w:val="footnote reference"/>
    <w:basedOn w:val="24"/>
    <w:semiHidden/>
    <w:unhideWhenUsed/>
    <w:qFormat/>
    <w:uiPriority w:val="99"/>
    <w:rPr>
      <w:vertAlign w:val="superscript"/>
    </w:rPr>
  </w:style>
  <w:style w:type="character" w:customStyle="1" w:styleId="28">
    <w:name w:val="标题 2 字符"/>
    <w:basedOn w:val="24"/>
    <w:link w:val="3"/>
    <w:qFormat/>
    <w:uiPriority w:val="9"/>
    <w:rPr>
      <w:rFonts w:ascii="Times New Roman" w:hAnsi="Times New Roman" w:eastAsia="楷体" w:cstheme="majorBidi"/>
      <w:b/>
      <w:bCs/>
      <w:sz w:val="28"/>
      <w:szCs w:val="32"/>
    </w:rPr>
  </w:style>
  <w:style w:type="character" w:customStyle="1" w:styleId="29">
    <w:name w:val="日期 字符"/>
    <w:basedOn w:val="24"/>
    <w:link w:val="10"/>
    <w:semiHidden/>
    <w:uiPriority w:val="99"/>
    <w:rPr>
      <w:rFonts w:ascii="Times New Roman" w:hAnsi="Times New Roman" w:eastAsia="仿宋_GB2312"/>
      <w:sz w:val="28"/>
    </w:rPr>
  </w:style>
  <w:style w:type="character" w:customStyle="1" w:styleId="30">
    <w:name w:val="标题 1 字符"/>
    <w:basedOn w:val="24"/>
    <w:link w:val="2"/>
    <w:uiPriority w:val="9"/>
    <w:rPr>
      <w:rFonts w:ascii="Times New Roman" w:hAnsi="Times New Roman" w:eastAsia="黑体"/>
      <w:b/>
      <w:bCs/>
      <w:kern w:val="44"/>
      <w:sz w:val="28"/>
      <w:szCs w:val="44"/>
    </w:rPr>
  </w:style>
  <w:style w:type="character" w:customStyle="1" w:styleId="31">
    <w:name w:val="批注框文本 字符"/>
    <w:basedOn w:val="24"/>
    <w:link w:val="11"/>
    <w:semiHidden/>
    <w:qFormat/>
    <w:uiPriority w:val="99"/>
    <w:rPr>
      <w:rFonts w:ascii="Times New Roman" w:hAnsi="Times New Roman" w:eastAsia="楷体"/>
      <w:sz w:val="18"/>
      <w:szCs w:val="18"/>
    </w:rPr>
  </w:style>
  <w:style w:type="character" w:customStyle="1" w:styleId="32">
    <w:name w:val="标题 3 字符"/>
    <w:basedOn w:val="24"/>
    <w:link w:val="4"/>
    <w:uiPriority w:val="9"/>
    <w:rPr>
      <w:rFonts w:ascii="等线" w:hAnsi="等线" w:eastAsia="等线"/>
      <w:b/>
      <w:bCs/>
      <w:szCs w:val="32"/>
    </w:rPr>
  </w:style>
  <w:style w:type="character" w:customStyle="1" w:styleId="33">
    <w:name w:val="批注文字 字符"/>
    <w:basedOn w:val="24"/>
    <w:link w:val="6"/>
    <w:qFormat/>
    <w:uiPriority w:val="0"/>
    <w:rPr>
      <w:szCs w:val="24"/>
    </w:rPr>
  </w:style>
  <w:style w:type="paragraph" w:styleId="34">
    <w:name w:val="List Paragraph"/>
    <w:basedOn w:val="1"/>
    <w:qFormat/>
    <w:uiPriority w:val="34"/>
    <w:pPr>
      <w:ind w:firstLine="420"/>
    </w:pPr>
  </w:style>
  <w:style w:type="character" w:customStyle="1" w:styleId="35">
    <w:name w:val="批注主题 字符"/>
    <w:basedOn w:val="33"/>
    <w:link w:val="21"/>
    <w:semiHidden/>
    <w:uiPriority w:val="99"/>
    <w:rPr>
      <w:rFonts w:ascii="Times New Roman" w:hAnsi="Times New Roman" w:eastAsia="楷体"/>
      <w:b/>
      <w:bCs/>
      <w:sz w:val="28"/>
      <w:szCs w:val="24"/>
    </w:rPr>
  </w:style>
  <w:style w:type="character" w:customStyle="1" w:styleId="36">
    <w:name w:val="脚注文本 字符"/>
    <w:basedOn w:val="24"/>
    <w:link w:val="16"/>
    <w:uiPriority w:val="0"/>
    <w:rPr>
      <w:sz w:val="18"/>
      <w:szCs w:val="18"/>
    </w:rPr>
  </w:style>
  <w:style w:type="character" w:customStyle="1" w:styleId="37">
    <w:name w:val="页眉 字符"/>
    <w:basedOn w:val="24"/>
    <w:link w:val="13"/>
    <w:uiPriority w:val="99"/>
    <w:rPr>
      <w:rFonts w:ascii="Times New Roman" w:hAnsi="Times New Roman" w:eastAsia="楷体"/>
      <w:sz w:val="18"/>
      <w:szCs w:val="18"/>
    </w:rPr>
  </w:style>
  <w:style w:type="character" w:customStyle="1" w:styleId="38">
    <w:name w:val="页脚 字符"/>
    <w:basedOn w:val="24"/>
    <w:link w:val="12"/>
    <w:uiPriority w:val="99"/>
    <w:rPr>
      <w:rFonts w:ascii="Times New Roman" w:hAnsi="Times New Roman" w:eastAsia="楷体"/>
      <w:sz w:val="18"/>
      <w:szCs w:val="18"/>
    </w:rPr>
  </w:style>
  <w:style w:type="paragraph" w:customStyle="1" w:styleId="39">
    <w:name w:val="TOC Heading"/>
    <w:basedOn w:val="2"/>
    <w:next w:val="1"/>
    <w:unhideWhenUsed/>
    <w:qFormat/>
    <w:uiPriority w:val="39"/>
    <w:pPr>
      <w:widowControl/>
      <w:spacing w:before="240" w:line="259" w:lineRule="auto"/>
      <w:outlineLvl w:val="9"/>
    </w:pPr>
    <w:rPr>
      <w:rFonts w:asciiTheme="majorHAnsi" w:hAnsiTheme="majorHAnsi" w:eastAsiaTheme="majorEastAsia" w:cstheme="majorBidi"/>
      <w:b w:val="0"/>
      <w:bCs w:val="0"/>
      <w:color w:val="2F5496" w:themeColor="accent1" w:themeShade="BF"/>
      <w:kern w:val="0"/>
      <w:sz w:val="32"/>
      <w:szCs w:val="32"/>
    </w:rPr>
  </w:style>
  <w:style w:type="paragraph" w:styleId="40">
    <w:name w:val="No Spacing"/>
    <w:qFormat/>
    <w:uiPriority w:val="1"/>
    <w:pPr>
      <w:widowControl w:val="0"/>
      <w:ind w:firstLine="200" w:firstLineChars="200"/>
      <w:jc w:val="both"/>
    </w:pPr>
    <w:rPr>
      <w:rFonts w:ascii="Times New Roman" w:hAnsi="Times New Roman" w:eastAsia="楷体" w:cstheme="minorBidi"/>
      <w:kern w:val="2"/>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chart" Target="charts/chart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explosion val="0"/>
          <c:dPt>
            <c:idx val="0"/>
            <c:bubble3D val="0"/>
            <c:spPr>
              <a:solidFill>
                <a:schemeClr val="accent5">
                  <a:lumMod val="20000"/>
                  <a:lumOff val="80000"/>
                </a:schemeClr>
              </a:solidFill>
              <a:ln w="19050">
                <a:solidFill>
                  <a:schemeClr val="lt1"/>
                </a:solidFill>
              </a:ln>
              <a:effectLst/>
            </c:spPr>
          </c:dPt>
          <c:dPt>
            <c:idx val="1"/>
            <c:bubble3D val="0"/>
            <c:spPr>
              <a:solidFill>
                <a:schemeClr val="tx1">
                  <a:lumMod val="50000"/>
                  <a:lumOff val="50000"/>
                </a:schemeClr>
              </a:solidFill>
              <a:ln w="19050">
                <a:solidFill>
                  <a:schemeClr val="lt1"/>
                </a:solidFill>
              </a:ln>
              <a:effectLst/>
            </c:spPr>
          </c:dPt>
          <c:dPt>
            <c:idx val="2"/>
            <c:bubble3D val="0"/>
            <c:spPr>
              <a:solidFill>
                <a:srgbClr val="00516B"/>
              </a:solidFill>
              <a:ln w="19050">
                <a:solidFill>
                  <a:schemeClr val="lt1"/>
                </a:solidFill>
              </a:ln>
              <a:effectLst/>
            </c:spPr>
          </c:dPt>
          <c:dPt>
            <c:idx val="3"/>
            <c:bubble3D val="0"/>
            <c:spPr>
              <a:solidFill>
                <a:schemeClr val="bg2">
                  <a:lumMod val="90000"/>
                </a:schemeClr>
              </a:solidFill>
              <a:ln w="19050">
                <a:solidFill>
                  <a:schemeClr val="lt1"/>
                </a:solidFill>
              </a:ln>
              <a:effectLst/>
            </c:spPr>
          </c:dPt>
          <c:dPt>
            <c:idx val="4"/>
            <c:bubble3D val="0"/>
            <c:spPr>
              <a:solidFill>
                <a:schemeClr val="accent5"/>
              </a:solidFill>
              <a:ln w="19050">
                <a:solidFill>
                  <a:schemeClr val="lt1"/>
                </a:solidFill>
              </a:ln>
              <a:effectLst/>
            </c:spPr>
          </c:dPt>
          <c:dLbls>
            <c:dLbl>
              <c:idx val="0"/>
              <c:layout>
                <c:manualLayout>
                  <c:x val="0.139658078497472"/>
                  <c:y val="0"/>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1"/>
              <c:layout>
                <c:manualLayout>
                  <c:x val="0.0842764266795088"/>
                  <c:y val="0.0412796697626419"/>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3"/>
              <c:layout>
                <c:manualLayout>
                  <c:x val="-0.216710811461594"/>
                  <c:y val="0.0288957688338493"/>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mn-cs"/>
                  </a:defRPr>
                </a:pPr>
              </a:p>
            </c:txPr>
            <c:dLblPos val="out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Sheet1!$A$2:$A$6</c:f>
              <c:strCache>
                <c:ptCount val="5"/>
                <c:pt idx="0">
                  <c:v>行政编制</c:v>
                </c:pt>
                <c:pt idx="1">
                  <c:v>参公编制</c:v>
                </c:pt>
                <c:pt idx="2">
                  <c:v>全额事业编制</c:v>
                </c:pt>
                <c:pt idx="3">
                  <c:v>差额事业编制</c:v>
                </c:pt>
                <c:pt idx="4">
                  <c:v>自收自支事业编制</c:v>
                </c:pt>
              </c:strCache>
            </c:strRef>
          </c:cat>
          <c:val>
            <c:numRef>
              <c:f>Sheet1!$B$2:$B$6</c:f>
              <c:numCache>
                <c:formatCode>General</c:formatCode>
                <c:ptCount val="5"/>
                <c:pt idx="0">
                  <c:v>12</c:v>
                </c:pt>
                <c:pt idx="1">
                  <c:v>19</c:v>
                </c:pt>
                <c:pt idx="2">
                  <c:v>107</c:v>
                </c:pt>
                <c:pt idx="3">
                  <c:v>5</c:v>
                </c:pt>
                <c:pt idx="4">
                  <c:v>2</c:v>
                </c:pt>
              </c:numCache>
            </c:numRef>
          </c:val>
        </c:ser>
        <c:dLbls>
          <c:showLegendKey val="0"/>
          <c:showVal val="0"/>
          <c:showCatName val="0"/>
          <c:showSerName val="0"/>
          <c:showPercent val="0"/>
          <c:showBubbleSize val="0"/>
          <c:showLeaderLines val="1"/>
        </c:dLbls>
        <c:firstSliceAng val="0"/>
      </c:pieChart>
      <c:spPr>
        <a:noFill/>
        <a:ln>
          <a:noFill/>
        </a:ln>
        <a:effectLst/>
      </c:spPr>
    </c:plotArea>
    <c:plotVisOnly val="1"/>
    <c:dispBlanksAs val="zero"/>
    <c:showDLblsOverMax val="0"/>
  </c:chart>
  <c:spPr>
    <a:solidFill>
      <a:schemeClr val="bg1"/>
    </a:solidFill>
    <a:ln w="9525" cap="flat" cmpd="sng" algn="ctr">
      <a:no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71B63-4811-4B69-B774-5A0ABBF05920}">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17398</Words>
  <Characters>20188</Characters>
  <Lines>172</Lines>
  <Paragraphs>48</Paragraphs>
  <TotalTime>190</TotalTime>
  <ScaleCrop>false</ScaleCrop>
  <LinksUpToDate>false</LinksUpToDate>
  <CharactersWithSpaces>20323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2021-07-25T01:19:00Z</dcterms:created>
  <dc:creator>梁佳</dc:creator>
  <cp:lastModifiedBy>Dell</cp:lastModifiedBy>
  <dcterms:modified xsi:type="dcterms:W3CDTF">2024-09-24T00:44:51Z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BD7DC461AD6C46E885206D30FF426E4F_12</vt:lpwstr>
  </property>
</Properties>
</file>