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line="600" w:lineRule="exact"/>
        <w:jc w:val="center"/>
        <w:rPr>
          <w:rFonts w:hint="eastAsia" w:ascii="方正小标宋简体" w:hAnsi="方正小标宋简体" w:eastAsia="方正小标宋简体" w:cs="方正小标宋简体"/>
          <w:color w:val="auto"/>
          <w:kern w:val="2"/>
          <w:sz w:val="40"/>
          <w:szCs w:val="40"/>
        </w:rPr>
      </w:pPr>
      <w:r>
        <w:rPr>
          <w:rFonts w:hint="eastAsia" w:ascii="方正小标宋简体" w:hAnsi="方正小标宋简体" w:eastAsia="方正小标宋简体" w:cs="方正小标宋简体"/>
          <w:color w:val="auto"/>
          <w:kern w:val="2"/>
          <w:sz w:val="40"/>
          <w:szCs w:val="40"/>
          <w:lang w:val="en-US"/>
        </w:rPr>
        <w:t>项目</w:t>
      </w:r>
      <w:r>
        <w:rPr>
          <w:rFonts w:hint="eastAsia" w:ascii="方正小标宋简体" w:hAnsi="方正小标宋简体" w:eastAsia="方正小标宋简体" w:cs="方正小标宋简体"/>
          <w:color w:val="auto"/>
          <w:kern w:val="2"/>
          <w:sz w:val="40"/>
          <w:szCs w:val="40"/>
        </w:rPr>
        <w:t>支出绩效自评报告</w:t>
      </w:r>
    </w:p>
    <w:p>
      <w:pPr>
        <w:pStyle w:val="8"/>
        <w:spacing w:line="600" w:lineRule="exact"/>
        <w:jc w:val="center"/>
        <w:rPr>
          <w:rFonts w:hint="eastAsia" w:ascii="方正小标宋简体" w:hAnsi="方正小标宋简体" w:eastAsia="仿宋_GB2312" w:cs="方正小标宋简体"/>
          <w:color w:val="auto"/>
          <w:kern w:val="2"/>
          <w:sz w:val="40"/>
          <w:szCs w:val="40"/>
          <w:lang w:val="en-US" w:eastAsia="zh-CN"/>
        </w:rPr>
      </w:pPr>
      <w:r>
        <w:rPr>
          <w:rFonts w:hint="eastAsia" w:ascii="仿宋_GB2312" w:hAnsi="仿宋_GB2312" w:eastAsia="仿宋_GB2312" w:cs="仿宋_GB2312"/>
          <w:color w:val="auto"/>
          <w:kern w:val="2"/>
          <w:sz w:val="28"/>
          <w:szCs w:val="28"/>
          <w:lang w:val="en-US" w:eastAsia="zh-CN"/>
        </w:rPr>
        <w:t>（2022年度</w:t>
      </w:r>
      <w:r>
        <w:rPr>
          <w:rFonts w:hint="eastAsia" w:ascii="仿宋_GB2312" w:hAnsi="仿宋_GB2312" w:eastAsia="仿宋_GB2312" w:cs="仿宋_GB2312"/>
          <w:color w:val="auto"/>
          <w:kern w:val="2"/>
          <w:sz w:val="28"/>
          <w:szCs w:val="28"/>
          <w:lang w:val="en-US"/>
        </w:rPr>
        <w:t>绵竹市农业外来入侵物种普查</w:t>
      </w:r>
      <w:r>
        <w:rPr>
          <w:rFonts w:hint="eastAsia" w:ascii="仿宋_GB2312" w:hAnsi="仿宋_GB2312" w:eastAsia="仿宋_GB2312" w:cs="仿宋_GB2312"/>
          <w:color w:val="auto"/>
          <w:kern w:val="2"/>
          <w:sz w:val="28"/>
          <w:szCs w:val="28"/>
          <w:lang w:val="en-US" w:eastAsia="zh-CN"/>
        </w:rPr>
        <w:t>）</w:t>
      </w:r>
    </w:p>
    <w:p>
      <w:pPr>
        <w:adjustRightInd w:val="0"/>
        <w:snapToGrid w:val="0"/>
        <w:spacing w:line="600" w:lineRule="exact"/>
        <w:ind w:firstLine="720"/>
        <w:rPr>
          <w:rFonts w:ascii="黑体" w:hAnsi="宋体" w:eastAsia="黑体"/>
          <w:lang w:val="zh-CN"/>
        </w:rPr>
      </w:pPr>
      <w:bookmarkStart w:id="1" w:name="_GoBack"/>
      <w:bookmarkEnd w:id="1"/>
      <w:r>
        <w:rPr>
          <w:rFonts w:hint="eastAsia" w:ascii="黑体" w:hAnsi="宋体" w:eastAsia="黑体"/>
        </w:rPr>
        <w:t>一、</w:t>
      </w:r>
      <w:r>
        <w:rPr>
          <w:rFonts w:hint="eastAsia" w:ascii="黑体" w:hAnsi="宋体" w:eastAsia="黑体"/>
          <w:lang w:val="zh-CN"/>
        </w:rPr>
        <w:t>项目概况</w:t>
      </w:r>
    </w:p>
    <w:p>
      <w:pPr>
        <w:adjustRightInd w:val="0"/>
        <w:snapToGrid w:val="0"/>
        <w:spacing w:line="600" w:lineRule="exact"/>
        <w:ind w:firstLine="720"/>
        <w:rPr>
          <w:rFonts w:hint="eastAsia" w:ascii="楷体_GB2312" w:hAnsi="宋体" w:eastAsia="楷体_GB2312"/>
          <w:b/>
          <w:lang w:val="zh-CN"/>
        </w:rPr>
      </w:pPr>
      <w:r>
        <w:rPr>
          <w:rFonts w:hint="eastAsia" w:ascii="楷体_GB2312" w:hAnsi="宋体" w:eastAsia="楷体_GB2312"/>
          <w:b/>
          <w:lang w:val="zh-CN"/>
        </w:rPr>
        <w:t>（一）项目基本情况。</w:t>
      </w:r>
    </w:p>
    <w:p>
      <w:pPr>
        <w:pStyle w:val="4"/>
        <w:keepNext/>
        <w:keepLines/>
        <w:pageBreakBefore w:val="0"/>
        <w:widowControl w:val="0"/>
        <w:numPr>
          <w:ilvl w:val="3"/>
          <w:numId w:val="0"/>
        </w:numPr>
        <w:kinsoku/>
        <w:wordWrap/>
        <w:overflowPunct/>
        <w:topLinePunct w:val="0"/>
        <w:autoSpaceDE/>
        <w:autoSpaceDN/>
        <w:bidi w:val="0"/>
        <w:adjustRightInd/>
        <w:snapToGrid/>
        <w:ind w:leftChars="0"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2022年度绵竹市农业外来入侵物种普查服务采购项目</w:t>
      </w:r>
      <w:r>
        <w:rPr>
          <w:rFonts w:hint="eastAsia" w:ascii="仿宋" w:hAnsi="仿宋" w:eastAsia="仿宋" w:cs="仿宋"/>
          <w:b w:val="0"/>
          <w:bCs w:val="0"/>
          <w:sz w:val="32"/>
          <w:szCs w:val="32"/>
          <w:lang w:val="zh-CN"/>
        </w:rPr>
        <w:t>，项目总投资</w:t>
      </w:r>
      <w:r>
        <w:rPr>
          <w:rFonts w:hint="eastAsia" w:ascii="仿宋" w:hAnsi="仿宋" w:eastAsia="仿宋" w:cs="仿宋"/>
          <w:b w:val="0"/>
          <w:bCs w:val="0"/>
          <w:sz w:val="32"/>
          <w:szCs w:val="32"/>
          <w:lang w:val="en-US" w:eastAsia="zh-CN"/>
        </w:rPr>
        <w:t>57.8万元，资金来源于本级财政资金。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lang w:val="en-US" w:eastAsia="zh-CN"/>
        </w:rPr>
      </w:pPr>
      <w:r>
        <w:rPr>
          <w:rFonts w:hint="default"/>
          <w:lang w:val="en-US" w:eastAsia="zh-CN"/>
        </w:rPr>
        <w:t>1．项目主管部门（绵竹市农业农村局）在该项目管理中的职能:编制实施方案，组织实施，检查验收，项目总结。</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000000" w:themeColor="text1"/>
          <w:sz w:val="32"/>
          <w:lang w:eastAsia="zh-CN"/>
          <w14:textFill>
            <w14:solidFill>
              <w14:schemeClr w14:val="tx1"/>
            </w14:solidFill>
          </w14:textFill>
        </w:rPr>
      </w:pPr>
      <w:r>
        <w:rPr>
          <w:rFonts w:hint="default"/>
          <w:lang w:val="en-US" w:eastAsia="zh-CN"/>
        </w:rPr>
        <w:t>2．项目立项、资金申报的依据：</w:t>
      </w:r>
      <w:r>
        <w:rPr>
          <w:rFonts w:hint="eastAsia" w:ascii="Times New Roman" w:hAnsi="Times New Roman" w:eastAsia="仿宋_GB2312" w:cs="Times New Roman"/>
          <w:color w:val="000000" w:themeColor="text1"/>
          <w:sz w:val="32"/>
          <w14:textFill>
            <w14:solidFill>
              <w14:schemeClr w14:val="tx1"/>
            </w14:solidFill>
          </w14:textFill>
        </w:rPr>
        <w:t>四川省七部门《关于印发&lt;四川省</w:t>
      </w:r>
      <w:r>
        <w:rPr>
          <w:rFonts w:hint="eastAsia" w:ascii="Times New Roman" w:hAnsi="Times New Roman" w:eastAsia="仿宋_GB2312" w:cs="Times New Roman"/>
          <w:color w:val="000000" w:themeColor="text1"/>
          <w:sz w:val="32"/>
          <w:lang w:eastAsia="zh-CN"/>
          <w14:textFill>
            <w14:solidFill>
              <w14:schemeClr w14:val="tx1"/>
            </w14:solidFill>
          </w14:textFill>
        </w:rPr>
        <w:t>农业外来入侵</w:t>
      </w:r>
      <w:r>
        <w:rPr>
          <w:rFonts w:hint="eastAsia" w:ascii="Times New Roman" w:hAnsi="Times New Roman" w:eastAsia="仿宋_GB2312" w:cs="Times New Roman"/>
          <w:color w:val="000000" w:themeColor="text1"/>
          <w:sz w:val="32"/>
          <w14:textFill>
            <w14:solidFill>
              <w14:schemeClr w14:val="tx1"/>
            </w14:solidFill>
          </w14:textFill>
        </w:rPr>
        <w:t>物种普查实施方案&gt;的通知》（川农函〔2021〕489号）</w:t>
      </w:r>
      <w:r>
        <w:rPr>
          <w:rFonts w:hint="eastAsia" w:ascii="Times New Roman" w:hAnsi="Times New Roman" w:eastAsia="仿宋_GB2312" w:cs="Times New Roman"/>
          <w:color w:val="000000" w:themeColor="text1"/>
          <w:sz w:val="32"/>
          <w:lang w:eastAsia="zh-CN"/>
          <w14:textFill>
            <w14:solidFill>
              <w14:schemeClr w14:val="tx1"/>
            </w14:solidFill>
          </w14:textFill>
        </w:rPr>
        <w:t>和《四川省农业外来入侵物种普查实施方案》（川农函</w:t>
      </w:r>
      <w:r>
        <w:rPr>
          <w:rFonts w:hint="eastAsia" w:ascii="Times New Roman" w:hAnsi="Times New Roman" w:eastAsia="仿宋_GB2312" w:cs="Times New Roman"/>
          <w:color w:val="000000" w:themeColor="text1"/>
          <w:sz w:val="32"/>
          <w14:textFill>
            <w14:solidFill>
              <w14:schemeClr w14:val="tx1"/>
            </w14:solidFill>
          </w14:textFill>
        </w:rPr>
        <w:t>〔202</w:t>
      </w:r>
      <w:r>
        <w:rPr>
          <w:rFonts w:hint="eastAsia" w:ascii="Times New Roman" w:hAnsi="Times New Roman" w:eastAsia="仿宋_GB2312" w:cs="Times New Roman"/>
          <w:color w:val="000000" w:themeColor="text1"/>
          <w:sz w:val="32"/>
          <w:lang w:val="en-US" w:eastAsia="zh-CN"/>
          <w14:textFill>
            <w14:solidFill>
              <w14:schemeClr w14:val="tx1"/>
            </w14:solidFill>
          </w14:textFill>
        </w:rPr>
        <w:t>2</w:t>
      </w:r>
      <w:r>
        <w:rPr>
          <w:rFonts w:hint="eastAsia" w:ascii="Times New Roman" w:hAnsi="Times New Roman" w:eastAsia="仿宋_GB2312" w:cs="Times New Roman"/>
          <w:color w:val="000000" w:themeColor="text1"/>
          <w:sz w:val="32"/>
          <w14:textFill>
            <w14:solidFill>
              <w14:schemeClr w14:val="tx1"/>
            </w14:solidFill>
          </w14:textFill>
        </w:rPr>
        <w:t>〕48号</w:t>
      </w:r>
      <w:r>
        <w:rPr>
          <w:rFonts w:hint="eastAsia" w:ascii="Times New Roman" w:hAnsi="Times New Roman" w:eastAsia="仿宋_GB2312" w:cs="Times New Roman"/>
          <w:color w:val="000000" w:themeColor="text1"/>
          <w:sz w:val="32"/>
          <w:lang w:eastAsia="zh-CN"/>
          <w14:textFill>
            <w14:solidFill>
              <w14:schemeClr w14:val="tx1"/>
            </w14:solidFill>
          </w14:textFill>
        </w:rPr>
        <w:t>）</w:t>
      </w:r>
      <w:r>
        <w:rPr>
          <w:rFonts w:hint="eastAsia" w:ascii="Times New Roman" w:hAnsi="Times New Roman" w:eastAsia="仿宋_GB2312" w:cs="Times New Roman"/>
          <w:color w:val="000000" w:themeColor="text1"/>
          <w:sz w:val="32"/>
          <w14:textFill>
            <w14:solidFill>
              <w14:schemeClr w14:val="tx1"/>
            </w14:solidFill>
          </w14:textFill>
        </w:rPr>
        <w:t>等文件</w:t>
      </w:r>
      <w:r>
        <w:rPr>
          <w:rFonts w:hint="eastAsia" w:ascii="Times New Roman" w:hAnsi="Times New Roman" w:cs="Times New Roman"/>
          <w:color w:val="000000" w:themeColor="text1"/>
          <w:sz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000000" w:themeColor="text1"/>
          <w:kern w:val="2"/>
          <w:sz w:val="32"/>
          <w:szCs w:val="22"/>
          <w:lang w:val="en-US" w:eastAsia="zh-CN" w:bidi="ar-SA"/>
          <w14:textFill>
            <w14:solidFill>
              <w14:schemeClr w14:val="tx1"/>
            </w14:solidFill>
          </w14:textFill>
        </w:rPr>
      </w:pPr>
      <w:r>
        <w:rPr>
          <w:rFonts w:hint="default"/>
          <w:lang w:val="en-US" w:eastAsia="zh-CN"/>
        </w:rPr>
        <w:t>3．资金管理：</w:t>
      </w:r>
      <w:r>
        <w:rPr>
          <w:rFonts w:hint="eastAsia"/>
          <w:lang w:val="en-US" w:eastAsia="zh-CN"/>
        </w:rPr>
        <w:t>根据文件要求，</w:t>
      </w:r>
      <w:r>
        <w:rPr>
          <w:rFonts w:hint="eastAsia" w:ascii="Times New Roman" w:hAnsi="Times New Roman" w:eastAsia="仿宋_GB2312" w:cs="Times New Roman"/>
          <w:color w:val="000000" w:themeColor="text1"/>
          <w:kern w:val="2"/>
          <w:sz w:val="32"/>
          <w:szCs w:val="22"/>
          <w:lang w:val="en-US" w:eastAsia="zh-CN" w:bidi="ar-SA"/>
          <w14:textFill>
            <w14:solidFill>
              <w14:schemeClr w14:val="tx1"/>
            </w14:solidFill>
          </w14:textFill>
        </w:rPr>
        <w:t>编制经费预算</w:t>
      </w:r>
      <w:r>
        <w:rPr>
          <w:rFonts w:hint="default"/>
          <w:lang w:val="en-US" w:eastAsia="zh-CN"/>
        </w:rPr>
        <w:t>，</w:t>
      </w:r>
      <w:r>
        <w:rPr>
          <w:rFonts w:hint="eastAsia" w:ascii="Times New Roman" w:hAnsi="Times New Roman" w:eastAsia="仿宋_GB2312" w:cs="Times New Roman"/>
          <w:color w:val="000000" w:themeColor="text1"/>
          <w:kern w:val="2"/>
          <w:sz w:val="32"/>
          <w:szCs w:val="22"/>
          <w:lang w:val="en-US" w:eastAsia="zh-CN" w:bidi="ar-SA"/>
          <w14:textFill>
            <w14:solidFill>
              <w14:schemeClr w14:val="tx1"/>
            </w14:solidFill>
          </w14:textFill>
        </w:rPr>
        <w:t>上报绵竹市政府，经财政部门审核后，列入预算安排，落实普查经费，确保普查工作顺利开展。</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仿宋_GB2312" w:cs="Times New Roman"/>
          <w:color w:val="000000" w:themeColor="text1"/>
          <w:kern w:val="2"/>
          <w:sz w:val="32"/>
          <w:szCs w:val="22"/>
          <w:lang w:val="en-US" w:eastAsia="zh-CN" w:bidi="ar-SA"/>
          <w14:textFill>
            <w14:solidFill>
              <w14:schemeClr w14:val="tx1"/>
            </w14:solidFill>
          </w14:textFill>
        </w:rPr>
      </w:pPr>
      <w:r>
        <w:rPr>
          <w:rFonts w:hint="default"/>
          <w:lang w:val="en-US" w:eastAsia="zh-CN"/>
        </w:rPr>
        <w:t xml:space="preserve"> 4．资金分配的原则及考虑因素：</w:t>
      </w:r>
      <w:r>
        <w:rPr>
          <w:rFonts w:hint="eastAsia" w:ascii="Times New Roman" w:hAnsi="Times New Roman" w:eastAsia="仿宋_GB2312" w:cs="Times New Roman"/>
          <w:color w:val="000000" w:themeColor="text1"/>
          <w:kern w:val="2"/>
          <w:sz w:val="32"/>
          <w:szCs w:val="22"/>
          <w:lang w:val="en-US" w:eastAsia="zh-CN" w:bidi="ar-SA"/>
          <w14:textFill>
            <w14:solidFill>
              <w14:schemeClr w14:val="tx1"/>
            </w14:solidFill>
          </w14:textFill>
        </w:rPr>
        <w:t>农业外来入侵物种普查工作经费57.8万元，主要</w:t>
      </w:r>
      <w:r>
        <w:rPr>
          <w:rFonts w:hint="eastAsia" w:cs="Times New Roman"/>
          <w:color w:val="000000" w:themeColor="text1"/>
          <w:kern w:val="2"/>
          <w:sz w:val="32"/>
          <w:szCs w:val="22"/>
          <w:lang w:val="en-US" w:eastAsia="zh-CN" w:bidi="ar-SA"/>
          <w14:textFill>
            <w14:solidFill>
              <w14:schemeClr w14:val="tx1"/>
            </w14:solidFill>
          </w14:textFill>
        </w:rPr>
        <w:t>通过政府采购　　　　　　　　　　　　　　　　限</w:t>
      </w:r>
      <w:r>
        <w:rPr>
          <w:rFonts w:hint="eastAsia" w:ascii="Times New Roman" w:hAnsi="Times New Roman" w:eastAsia="仿宋_GB2312" w:cs="Times New Roman"/>
          <w:color w:val="000000" w:themeColor="text1"/>
          <w:kern w:val="2"/>
          <w:sz w:val="32"/>
          <w:szCs w:val="22"/>
          <w:lang w:val="en-US" w:eastAsia="zh-CN" w:bidi="ar-SA"/>
          <w14:textFill>
            <w14:solidFill>
              <w14:schemeClr w14:val="tx1"/>
            </w14:solidFill>
          </w14:textFill>
        </w:rPr>
        <w:t>购买第三方服务，在全市12个镇（街道）开展农业外来入侵植物、农作物外来入侵病虫害和外来入侵水生动物的清查、踏查、样地调查、标本制作及样本鉴定、培训宣传、专家评审费、成果验收等费用。</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ascii="楷体_GB2312" w:hAnsi="宋体" w:eastAsia="楷体_GB2312"/>
          <w:b/>
          <w:lang w:val="zh-CN"/>
        </w:rPr>
      </w:pPr>
      <w:r>
        <w:rPr>
          <w:rFonts w:hint="eastAsia" w:ascii="楷体_GB2312" w:hAnsi="宋体" w:eastAsia="楷体_GB2312"/>
          <w:b/>
          <w:lang w:val="zh-CN"/>
        </w:rPr>
        <w:t>（二）项目绩效目标。</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宋体"/>
          <w:lang w:val="en-US" w:eastAsia="zh-CN"/>
        </w:rPr>
      </w:pPr>
      <w:r>
        <w:rPr>
          <w:rFonts w:hint="eastAsia" w:ascii="仿宋_GB2312" w:hAnsi="仿宋_GB2312" w:eastAsia="仿宋_GB2312" w:cs="仿宋_GB2312"/>
          <w:color w:val="000000" w:themeColor="text1"/>
          <w:sz w:val="32"/>
          <w14:textFill>
            <w14:solidFill>
              <w14:schemeClr w14:val="tx1"/>
            </w14:solidFill>
          </w14:textFill>
        </w:rPr>
        <w:t>在</w:t>
      </w:r>
      <w:r>
        <w:rPr>
          <w:rFonts w:hint="eastAsia" w:ascii="仿宋_GB2312" w:hAnsi="仿宋_GB2312" w:eastAsia="仿宋_GB2312" w:cs="仿宋_GB2312"/>
          <w:color w:val="000000" w:themeColor="text1"/>
          <w:sz w:val="32"/>
          <w:lang w:eastAsia="zh-CN"/>
          <w14:textFill>
            <w14:solidFill>
              <w14:schemeClr w14:val="tx1"/>
            </w14:solidFill>
          </w14:textFill>
        </w:rPr>
        <w:t>全市范围内，以全省外来入侵物种信息为基础，兼顾其他潜在高危外来有害物种，对农田和渔业水域开展普查。普查对象包括外来入侵植物、动物、植物病虫害等。主要开展农业外来入侵植物、农作物外来入侵病虫害和外来入侵水生动物普查，</w:t>
      </w:r>
      <w:r>
        <w:rPr>
          <w:rFonts w:hint="eastAsia" w:ascii="仿宋_GB2312" w:hAnsi="仿宋_GB2312" w:eastAsia="仿宋_GB2312" w:cs="仿宋_GB2312"/>
          <w:color w:val="000000" w:themeColor="text1"/>
          <w:sz w:val="32"/>
          <w14:textFill>
            <w14:solidFill>
              <w14:schemeClr w14:val="tx1"/>
            </w14:solidFill>
          </w14:textFill>
        </w:rPr>
        <w:t>摸清</w:t>
      </w:r>
      <w:r>
        <w:rPr>
          <w:rFonts w:hint="eastAsia" w:ascii="仿宋_GB2312" w:hAnsi="仿宋_GB2312" w:eastAsia="仿宋_GB2312" w:cs="仿宋_GB2312"/>
          <w:color w:val="000000" w:themeColor="text1"/>
          <w:sz w:val="32"/>
          <w:lang w:eastAsia="zh-CN"/>
          <w14:textFill>
            <w14:solidFill>
              <w14:schemeClr w14:val="tx1"/>
            </w14:solidFill>
          </w14:textFill>
        </w:rPr>
        <w:t>绵竹市</w:t>
      </w:r>
      <w:r>
        <w:rPr>
          <w:rFonts w:hint="eastAsia" w:ascii="仿宋_GB2312" w:hAnsi="仿宋_GB2312" w:eastAsia="仿宋_GB2312" w:cs="仿宋_GB2312"/>
          <w:color w:val="000000" w:themeColor="text1"/>
          <w:sz w:val="32"/>
          <w14:textFill>
            <w14:solidFill>
              <w14:schemeClr w14:val="tx1"/>
            </w14:solidFill>
          </w14:textFill>
        </w:rPr>
        <w:t>域内农业外来入侵物种的种类数量、分布范围、发生面积、危害程度等情况，</w:t>
      </w:r>
      <w:r>
        <w:rPr>
          <w:rFonts w:hint="eastAsia" w:ascii="仿宋_GB2312" w:hAnsi="仿宋_GB2312" w:eastAsia="仿宋_GB2312" w:cs="仿宋_GB2312"/>
          <w:color w:val="000000" w:themeColor="text1"/>
          <w:sz w:val="32"/>
          <w:lang w:eastAsia="zh-CN"/>
          <w14:textFill>
            <w14:solidFill>
              <w14:schemeClr w14:val="tx1"/>
            </w14:solidFill>
          </w14:textFill>
        </w:rPr>
        <w:t>构建外来入侵物种信息数据库，</w:t>
      </w:r>
      <w:r>
        <w:rPr>
          <w:rFonts w:hint="eastAsia" w:ascii="仿宋_GB2312" w:hAnsi="仿宋_GB2312" w:eastAsia="仿宋_GB2312" w:cs="仿宋_GB2312"/>
          <w:color w:val="000000" w:themeColor="text1"/>
          <w:sz w:val="32"/>
          <w14:textFill>
            <w14:solidFill>
              <w14:schemeClr w14:val="tx1"/>
            </w14:solidFill>
          </w14:textFill>
        </w:rPr>
        <w:t>分析外来入侵物种对</w:t>
      </w:r>
      <w:r>
        <w:rPr>
          <w:rFonts w:hint="eastAsia" w:ascii="仿宋_GB2312" w:hAnsi="仿宋_GB2312" w:eastAsia="仿宋_GB2312" w:cs="仿宋_GB2312"/>
          <w:color w:val="000000" w:themeColor="text1"/>
          <w:sz w:val="32"/>
          <w:lang w:eastAsia="zh-CN"/>
          <w14:textFill>
            <w14:solidFill>
              <w14:schemeClr w14:val="tx1"/>
            </w14:solidFill>
          </w14:textFill>
        </w:rPr>
        <w:t>绵竹市</w:t>
      </w:r>
      <w:r>
        <w:rPr>
          <w:rFonts w:hint="eastAsia" w:ascii="仿宋_GB2312" w:hAnsi="仿宋_GB2312" w:eastAsia="仿宋_GB2312" w:cs="仿宋_GB2312"/>
          <w:color w:val="000000" w:themeColor="text1"/>
          <w:sz w:val="32"/>
          <w14:textFill>
            <w14:solidFill>
              <w14:schemeClr w14:val="tx1"/>
            </w14:solidFill>
          </w14:textFill>
        </w:rPr>
        <w:t>经济、生态和社会的影响</w:t>
      </w:r>
      <w:r>
        <w:rPr>
          <w:rFonts w:hint="eastAsia" w:ascii="仿宋_GB2312" w:hAnsi="仿宋_GB2312" w:cs="仿宋_GB2312"/>
          <w:color w:val="000000" w:themeColor="text1"/>
          <w:sz w:val="32"/>
          <w:lang w:eastAsia="zh-CN"/>
          <w14:textFill>
            <w14:solidFill>
              <w14:schemeClr w14:val="tx1"/>
            </w14:solidFill>
          </w14:textFill>
        </w:rPr>
        <w:t>。具体项目绩效目标为：专项普查调查镇数量（涉农街道）12个；开展踏查点数量≥60个；形成普查清单1份，总结报告数量1份；宣传培训（场次）≥1场次；普查样地调查按时完成率≥98%；样地调查合格率≥95%；</w:t>
      </w:r>
      <w:r>
        <w:rPr>
          <w:rFonts w:hint="eastAsia" w:ascii="仿宋_GB2312" w:hAnsi="仿宋_GB2312" w:eastAsia="仿宋_GB2312" w:cs="仿宋_GB2312"/>
          <w:color w:val="000000" w:themeColor="text1"/>
          <w:sz w:val="32"/>
          <w:lang w:eastAsia="zh-CN"/>
          <w14:textFill>
            <w14:solidFill>
              <w14:schemeClr w14:val="tx1"/>
            </w14:solidFill>
          </w14:textFill>
        </w:rPr>
        <w:t>2023年12月31日前完成外来入侵物种普查工作</w:t>
      </w:r>
      <w:r>
        <w:rPr>
          <w:rFonts w:hint="eastAsia" w:ascii="仿宋_GB2312" w:hAnsi="仿宋_GB2312" w:cs="仿宋_GB2312"/>
          <w:color w:val="000000" w:themeColor="text1"/>
          <w:sz w:val="32"/>
          <w:lang w:eastAsia="zh-CN"/>
          <w14:textFill>
            <w14:solidFill>
              <w14:schemeClr w14:val="tx1"/>
            </w14:solidFill>
          </w14:textFill>
        </w:rPr>
        <w:t>；</w:t>
      </w:r>
      <w:r>
        <w:rPr>
          <w:rFonts w:hint="eastAsia" w:ascii="仿宋_GB2312" w:hAnsi="仿宋_GB2312" w:eastAsia="仿宋_GB2312" w:cs="仿宋_GB2312"/>
          <w:color w:val="000000" w:themeColor="text1"/>
          <w:sz w:val="32"/>
          <w:lang w:eastAsia="zh-CN"/>
          <w14:textFill>
            <w14:solidFill>
              <w14:schemeClr w14:val="tx1"/>
            </w14:solidFill>
          </w14:textFill>
        </w:rPr>
        <w:t>任务</w:t>
      </w:r>
      <w:r>
        <w:rPr>
          <w:rFonts w:hint="eastAsia" w:ascii="仿宋_GB2312" w:hAnsi="宋体"/>
          <w:lang w:val="zh-CN"/>
        </w:rPr>
        <w:t>资金使用无重大违规违纪问题。</w:t>
      </w:r>
      <w:r>
        <w:rPr>
          <w:rFonts w:hint="eastAsia" w:ascii="仿宋_GB2312" w:hAnsi="宋体"/>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ascii="楷体_GB2312" w:hAnsi="宋体" w:eastAsia="楷体_GB2312"/>
          <w:b/>
          <w:lang w:val="zh-CN"/>
        </w:rPr>
      </w:pPr>
      <w:r>
        <w:rPr>
          <w:rFonts w:hint="eastAsia" w:ascii="仿宋_GB2312" w:hAnsi="宋体"/>
          <w:b/>
          <w:bCs/>
          <w:lang w:val="en-US" w:eastAsia="zh-CN"/>
        </w:rPr>
        <w:t>（三）</w:t>
      </w:r>
      <w:r>
        <w:rPr>
          <w:rFonts w:hint="eastAsia" w:ascii="楷体_GB2312" w:hAnsi="宋体" w:eastAsia="楷体_GB2312"/>
          <w:b/>
          <w:lang w:val="zh-CN"/>
        </w:rPr>
        <w:t>项目自评步骤及方法。</w:t>
      </w:r>
    </w:p>
    <w:p>
      <w:pPr>
        <w:adjustRightInd w:val="0"/>
        <w:snapToGrid w:val="0"/>
        <w:spacing w:line="600" w:lineRule="exact"/>
        <w:ind w:firstLine="720"/>
        <w:rPr>
          <w:rFonts w:hint="eastAsia" w:ascii="仿宋_GB2312" w:hAnsi="宋体"/>
          <w:lang w:val="zh-CN"/>
        </w:rPr>
      </w:pPr>
      <w:r>
        <w:rPr>
          <w:rFonts w:hint="eastAsia" w:ascii="仿宋_GB2312" w:hAnsi="宋体"/>
          <w:lang w:val="zh-CN"/>
        </w:rPr>
        <w:t>1、项目业主单位自查。</w:t>
      </w:r>
    </w:p>
    <w:p>
      <w:pPr>
        <w:adjustRightInd w:val="0"/>
        <w:snapToGrid w:val="0"/>
        <w:spacing w:line="600" w:lineRule="exact"/>
        <w:ind w:firstLine="720"/>
        <w:rPr>
          <w:rFonts w:hint="eastAsia" w:ascii="仿宋_GB2312" w:hAnsi="宋体"/>
          <w:lang w:val="zh-CN"/>
        </w:rPr>
      </w:pPr>
      <w:r>
        <w:rPr>
          <w:rFonts w:hint="eastAsia" w:ascii="仿宋_GB2312" w:hAnsi="宋体"/>
          <w:lang w:val="zh-CN"/>
        </w:rPr>
        <w:t>2、项目管理部门抽查。</w:t>
      </w:r>
    </w:p>
    <w:p>
      <w:pPr>
        <w:adjustRightInd w:val="0"/>
        <w:snapToGrid w:val="0"/>
        <w:spacing w:line="600" w:lineRule="exact"/>
        <w:ind w:firstLine="720"/>
        <w:rPr>
          <w:rFonts w:ascii="仿宋_GB2312" w:hAnsi="宋体"/>
          <w:lang w:val="zh-CN"/>
        </w:rPr>
      </w:pPr>
      <w:r>
        <w:rPr>
          <w:rFonts w:hint="eastAsia" w:ascii="仿宋_GB2312" w:hAnsi="宋体"/>
          <w:lang w:val="zh-CN"/>
        </w:rPr>
        <w:t>3、撰写自评报告。</w:t>
      </w:r>
    </w:p>
    <w:p>
      <w:pPr>
        <w:adjustRightInd w:val="0"/>
        <w:snapToGrid w:val="0"/>
        <w:spacing w:line="600" w:lineRule="exact"/>
        <w:ind w:firstLine="720"/>
        <w:rPr>
          <w:rFonts w:ascii="黑体" w:hAnsi="宋体" w:eastAsia="黑体"/>
        </w:rPr>
      </w:pPr>
      <w:r>
        <w:rPr>
          <w:rFonts w:hint="eastAsia" w:ascii="黑体" w:hAnsi="宋体" w:eastAsia="黑体"/>
        </w:rPr>
        <w:t>二、项目资金申报及使用情况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pPr>
        <w:adjustRightInd w:val="0"/>
        <w:snapToGrid w:val="0"/>
        <w:spacing w:line="600" w:lineRule="exact"/>
        <w:ind w:firstLine="720"/>
        <w:rPr>
          <w:rFonts w:ascii="仿宋_GB2312" w:hAnsi="宋体"/>
          <w:lang w:val="zh-CN"/>
        </w:rPr>
      </w:pPr>
      <w:r>
        <w:rPr>
          <w:rFonts w:hint="eastAsia" w:ascii="仿宋_GB2312" w:hAnsi="宋体"/>
          <w:lang w:val="zh-CN"/>
        </w:rPr>
        <w:t>项目下达后，</w:t>
      </w:r>
      <w:r>
        <w:rPr>
          <w:rFonts w:hint="eastAsia" w:ascii="Times New Roman" w:hAnsi="Times New Roman" w:eastAsia="仿宋_GB2312" w:cs="Times New Roman"/>
          <w:color w:val="000000" w:themeColor="text1"/>
          <w:kern w:val="2"/>
          <w:sz w:val="32"/>
          <w:szCs w:val="22"/>
          <w:lang w:val="en-US" w:eastAsia="zh-CN" w:bidi="ar-SA"/>
          <w14:textFill>
            <w14:solidFill>
              <w14:schemeClr w14:val="tx1"/>
            </w14:solidFill>
          </w14:textFill>
        </w:rPr>
        <w:t>编制经费预算</w:t>
      </w:r>
      <w:r>
        <w:rPr>
          <w:rFonts w:hint="default"/>
          <w:lang w:val="en-US" w:eastAsia="zh-CN"/>
        </w:rPr>
        <w:t>，</w:t>
      </w:r>
      <w:r>
        <w:rPr>
          <w:rFonts w:hint="eastAsia" w:ascii="Times New Roman" w:hAnsi="Times New Roman" w:eastAsia="仿宋_GB2312" w:cs="Times New Roman"/>
          <w:color w:val="000000" w:themeColor="text1"/>
          <w:kern w:val="2"/>
          <w:sz w:val="32"/>
          <w:szCs w:val="22"/>
          <w:lang w:val="en-US" w:eastAsia="zh-CN" w:bidi="ar-SA"/>
          <w14:textFill>
            <w14:solidFill>
              <w14:schemeClr w14:val="tx1"/>
            </w14:solidFill>
          </w14:textFill>
        </w:rPr>
        <w:t>上报绵竹市政府，经财政部门审核后，列入预算安排，落实普查经费</w:t>
      </w:r>
      <w:r>
        <w:rPr>
          <w:rFonts w:hint="eastAsia" w:ascii="Times New Roman" w:hAnsi="Times New Roman" w:cs="Times New Roman"/>
          <w:color w:val="000000" w:themeColor="text1"/>
          <w:kern w:val="2"/>
          <w:sz w:val="32"/>
          <w:szCs w:val="22"/>
          <w:lang w:val="en-US" w:eastAsia="zh-CN" w:bidi="ar-SA"/>
          <w14:textFill>
            <w14:solidFill>
              <w14:schemeClr w14:val="tx1"/>
            </w14:solidFill>
          </w14:textFill>
        </w:rPr>
        <w:t>；编制实施方案，</w:t>
      </w:r>
      <w:r>
        <w:rPr>
          <w:rFonts w:hint="eastAsia" w:ascii="仿宋_GB2312" w:hAnsi="宋体"/>
          <w:lang w:val="zh-CN"/>
        </w:rPr>
        <w:t>经局党组会议审核通过报德阳市农业农村局备案后组织实施。</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3" w:firstLineChars="200"/>
        <w:textAlignment w:val="auto"/>
        <w:rPr>
          <w:rFonts w:hint="eastAsia"/>
          <w:lang w:val="zh-CN"/>
        </w:rPr>
      </w:pPr>
      <w:r>
        <w:rPr>
          <w:rFonts w:hint="eastAsia" w:ascii="楷体_GB2312" w:hAnsi="宋体" w:eastAsia="楷体_GB2312"/>
          <w:b/>
          <w:lang w:val="zh-CN"/>
        </w:rPr>
        <w:t>（二）资金计划、到位及使用情况</w:t>
      </w:r>
    </w:p>
    <w:p>
      <w:pPr>
        <w:pStyle w:val="4"/>
        <w:keepNext/>
        <w:keepLines/>
        <w:pageBreakBefore w:val="0"/>
        <w:widowControl w:val="0"/>
        <w:numPr>
          <w:ilvl w:val="3"/>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1、资金计划</w:t>
      </w:r>
    </w:p>
    <w:p>
      <w:pPr>
        <w:pStyle w:val="4"/>
        <w:keepNext/>
        <w:keepLines/>
        <w:pageBreakBefore w:val="0"/>
        <w:widowControl w:val="0"/>
        <w:numPr>
          <w:ilvl w:val="3"/>
          <w:numId w:val="0"/>
        </w:numPr>
        <w:kinsoku/>
        <w:wordWrap/>
        <w:overflowPunct/>
        <w:topLinePunct w:val="0"/>
        <w:autoSpaceDE/>
        <w:autoSpaceDN/>
        <w:bidi w:val="0"/>
        <w:adjustRightInd/>
        <w:snapToGrid/>
        <w:ind w:leftChars="0" w:firstLine="640" w:firstLineChars="200"/>
        <w:textAlignment w:val="auto"/>
        <w:rPr>
          <w:rFonts w:hint="eastAsia" w:ascii="仿宋" w:hAnsi="仿宋" w:eastAsia="仿宋" w:cs="仿宋"/>
          <w:b w:val="0"/>
          <w:bCs/>
          <w:lang w:val="en-US" w:eastAsia="zh-CN"/>
        </w:rPr>
      </w:pPr>
      <w:r>
        <w:rPr>
          <w:rFonts w:hint="eastAsia" w:ascii="仿宋" w:hAnsi="仿宋" w:eastAsia="仿宋" w:cs="仿宋"/>
          <w:b w:val="0"/>
          <w:bCs w:val="0"/>
          <w:sz w:val="32"/>
          <w:szCs w:val="32"/>
          <w:lang w:val="zh-CN"/>
        </w:rPr>
        <w:t>项目总投资</w:t>
      </w:r>
      <w:r>
        <w:rPr>
          <w:rFonts w:hint="eastAsia" w:ascii="仿宋" w:hAnsi="仿宋" w:eastAsia="仿宋" w:cs="仿宋"/>
          <w:b w:val="0"/>
          <w:bCs w:val="0"/>
          <w:sz w:val="32"/>
          <w:szCs w:val="32"/>
          <w:lang w:val="en-US" w:eastAsia="zh-CN"/>
        </w:rPr>
        <w:t>57.8万元，资金来源于本级财政资金。</w:t>
      </w:r>
    </w:p>
    <w:p>
      <w:pPr>
        <w:adjustRightInd w:val="0"/>
        <w:snapToGrid w:val="0"/>
        <w:spacing w:line="600" w:lineRule="exact"/>
        <w:ind w:firstLine="640" w:firstLineChars="200"/>
        <w:rPr>
          <w:rFonts w:hint="eastAsia" w:ascii="仿宋" w:hAnsi="仿宋" w:eastAsia="仿宋" w:cs="仿宋"/>
          <w:b w:val="0"/>
          <w:bCs/>
          <w:lang w:val="zh-CN"/>
        </w:rPr>
      </w:pPr>
      <w:r>
        <w:rPr>
          <w:rFonts w:hint="eastAsia" w:ascii="仿宋" w:hAnsi="仿宋" w:eastAsia="仿宋" w:cs="仿宋"/>
          <w:b w:val="0"/>
          <w:bCs/>
          <w:lang w:val="en-US" w:eastAsia="zh-CN"/>
        </w:rPr>
        <w:t>2、</w:t>
      </w:r>
      <w:r>
        <w:rPr>
          <w:rFonts w:hint="eastAsia" w:ascii="仿宋" w:hAnsi="仿宋" w:eastAsia="仿宋" w:cs="仿宋"/>
          <w:b w:val="0"/>
          <w:bCs/>
          <w:lang w:val="zh-CN"/>
        </w:rPr>
        <w:t>资金到位。本级财政资金全部到位。</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lang w:val="zh-CN"/>
        </w:rPr>
        <w:t>3、资金使用。</w:t>
      </w:r>
      <w:r>
        <w:rPr>
          <w:rFonts w:hint="eastAsia" w:ascii="仿宋" w:hAnsi="仿宋" w:eastAsia="仿宋" w:cs="仿宋"/>
          <w:b w:val="0"/>
          <w:bCs w:val="0"/>
          <w:sz w:val="32"/>
          <w:szCs w:val="32"/>
          <w:lang w:val="en-US" w:eastAsia="zh-CN"/>
        </w:rPr>
        <w:t>项目总投资57.8万元，截止2022年末，已拨付资金15.756万元，结余财政资金42.044万元。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lang w:val="en-US" w:eastAsia="zh-CN"/>
        </w:rPr>
      </w:pPr>
      <w:r>
        <w:rPr>
          <w:rFonts w:hint="eastAsia"/>
          <w:lang w:val="en-US" w:eastAsia="zh-CN"/>
        </w:rPr>
        <w:t>（1）绵竹市农业外来入侵物种普查项目采购服务费第一阶段资金支出15.6</w:t>
      </w:r>
      <w:r>
        <w:rPr>
          <w:rFonts w:hint="default"/>
          <w:lang w:val="en-US" w:eastAsia="zh-CN"/>
        </w:rPr>
        <w:t>万元。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val="en-US" w:eastAsia="zh-CN"/>
        </w:rPr>
      </w:pPr>
      <w:r>
        <w:rPr>
          <w:rFonts w:hint="eastAsia"/>
          <w:lang w:val="en-US" w:eastAsia="zh-CN"/>
        </w:rPr>
        <w:t>（2）外来物种普查书籍支出0.1万元。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val="en-US" w:eastAsia="zh-CN"/>
        </w:rPr>
      </w:pPr>
      <w:r>
        <w:rPr>
          <w:rFonts w:hint="eastAsia"/>
          <w:lang w:val="en-US" w:eastAsia="zh-CN"/>
        </w:rPr>
        <w:t>（3）第一次培训会会议用品支出0.056</w:t>
      </w:r>
      <w:r>
        <w:rPr>
          <w:rFonts w:hint="default"/>
          <w:lang w:val="en-US" w:eastAsia="zh-CN"/>
        </w:rPr>
        <w:t>万元</w:t>
      </w:r>
      <w:r>
        <w:rPr>
          <w:rFonts w:hint="eastAsia"/>
          <w:lang w:val="en-US" w:eastAsia="zh-CN"/>
        </w:rPr>
        <w:t>。</w:t>
      </w:r>
    </w:p>
    <w:p>
      <w:pPr>
        <w:adjustRightInd w:val="0"/>
        <w:snapToGrid w:val="0"/>
        <w:spacing w:line="600" w:lineRule="exact"/>
        <w:ind w:firstLine="720"/>
        <w:rPr>
          <w:rFonts w:hint="eastAsia" w:ascii="仿宋" w:hAnsi="仿宋" w:eastAsia="仿宋" w:cs="仿宋"/>
          <w:b w:val="0"/>
          <w:bCs/>
          <w:lang w:val="zh-CN"/>
        </w:rPr>
      </w:pPr>
      <w:r>
        <w:rPr>
          <w:rFonts w:hint="eastAsia" w:ascii="仿宋" w:hAnsi="仿宋" w:eastAsia="仿宋" w:cs="仿宋"/>
          <w:b/>
          <w:bCs w:val="0"/>
          <w:lang w:val="zh-CN"/>
        </w:rPr>
        <w:t>（三）项目财务管理情况。</w:t>
      </w:r>
    </w:p>
    <w:p>
      <w:pPr>
        <w:adjustRightInd w:val="0"/>
        <w:snapToGrid w:val="0"/>
        <w:spacing w:line="600" w:lineRule="exact"/>
        <w:ind w:firstLine="720"/>
        <w:rPr>
          <w:rFonts w:hint="eastAsia" w:ascii="仿宋_GB2312" w:hAnsi="宋体"/>
          <w:lang w:val="zh-CN"/>
        </w:rPr>
      </w:pPr>
      <w:r>
        <w:rPr>
          <w:rFonts w:hint="eastAsia" w:ascii="仿宋_GB2312" w:hAnsi="宋体"/>
          <w:lang w:val="zh-CN"/>
        </w:rPr>
        <w:t>总体评价项目实施单位财务管理制度健全，严格执行财务管理制度，账务处理及时，会计核算规范。</w:t>
      </w:r>
    </w:p>
    <w:p>
      <w:pPr>
        <w:adjustRightInd w:val="0"/>
        <w:snapToGrid w:val="0"/>
        <w:spacing w:line="600" w:lineRule="exact"/>
        <w:ind w:firstLine="720"/>
        <w:rPr>
          <w:rFonts w:ascii="黑体" w:hAnsi="宋体" w:eastAsia="黑体"/>
        </w:rPr>
      </w:pPr>
      <w:r>
        <w:rPr>
          <w:rFonts w:hint="eastAsia" w:ascii="黑体" w:hAnsi="宋体" w:eastAsia="黑体"/>
        </w:rPr>
        <w:t>三、项目实施及管理情况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lang w:val="en-US" w:eastAsia="zh-CN"/>
          <w14:textFill>
            <w14:solidFill>
              <w14:schemeClr w14:val="tx1"/>
            </w14:solidFill>
          </w14:textFill>
        </w:rPr>
      </w:pPr>
      <w:r>
        <w:rPr>
          <w:rFonts w:hint="eastAsia" w:ascii="仿宋_GB2312" w:hAnsi="宋体"/>
          <w:lang w:val="zh-CN"/>
        </w:rPr>
        <w:t>（一）项目组织架构及实施流程。成立以农业农村局主要领导为组长的“绵竹市2022年外来入侵物种普查工作领导小组</w:t>
      </w:r>
      <w:r>
        <w:rPr>
          <w:rFonts w:hint="default" w:ascii="Times New Roman" w:hAnsi="Times New Roman" w:eastAsia="仿宋_GB2312" w:cs="Times New Roman"/>
          <w:color w:val="auto"/>
          <w:sz w:val="32"/>
          <w:szCs w:val="32"/>
          <w:highlight w:val="none"/>
          <w:lang w:val="en-US" w:eastAsia="zh-CN"/>
        </w:rPr>
        <w:t>领导小组</w:t>
      </w:r>
      <w:r>
        <w:rPr>
          <w:rFonts w:hint="eastAsia" w:ascii="仿宋_GB2312" w:hAnsi="宋体"/>
          <w:lang w:val="zh-CN"/>
        </w:rPr>
        <w:t>”，</w:t>
      </w:r>
      <w:r>
        <w:rPr>
          <w:rFonts w:hint="default" w:ascii="Times New Roman" w:hAnsi="Times New Roman" w:eastAsia="仿宋_GB2312" w:cs="Times New Roman"/>
          <w:color w:val="auto"/>
          <w:sz w:val="32"/>
          <w:szCs w:val="32"/>
          <w:highlight w:val="none"/>
          <w:lang w:val="en-US" w:eastAsia="zh-CN"/>
        </w:rPr>
        <w:t>办公室设在市农业</w:t>
      </w:r>
      <w:r>
        <w:rPr>
          <w:rFonts w:hint="eastAsia" w:cs="Times New Roman"/>
          <w:color w:val="auto"/>
          <w:sz w:val="32"/>
          <w:szCs w:val="32"/>
          <w:highlight w:val="none"/>
          <w:lang w:val="en-US" w:eastAsia="zh-CN"/>
        </w:rPr>
        <w:t>农村</w:t>
      </w:r>
      <w:r>
        <w:rPr>
          <w:rFonts w:hint="default" w:ascii="Times New Roman" w:hAnsi="Times New Roman" w:eastAsia="仿宋_GB2312" w:cs="Times New Roman"/>
          <w:color w:val="auto"/>
          <w:sz w:val="32"/>
          <w:szCs w:val="32"/>
          <w:highlight w:val="none"/>
          <w:lang w:val="en-US" w:eastAsia="zh-CN"/>
        </w:rPr>
        <w:t>局，</w:t>
      </w:r>
      <w:r>
        <w:rPr>
          <w:rFonts w:hint="eastAsia" w:ascii="Times New Roman" w:hAnsi="Times New Roman" w:eastAsia="仿宋_GB2312" w:cs="Times New Roman"/>
          <w:color w:val="auto"/>
          <w:sz w:val="32"/>
          <w:szCs w:val="32"/>
          <w:highlight w:val="none"/>
          <w:lang w:val="en-US" w:eastAsia="zh-CN"/>
        </w:rPr>
        <w:t>由</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吕兴平同志</w:t>
      </w:r>
      <w:r>
        <w:rPr>
          <w:rFonts w:hint="default" w:ascii="Times New Roman" w:hAnsi="Times New Roman" w:eastAsia="仿宋_GB2312" w:cs="Times New Roman"/>
          <w:color w:val="auto"/>
          <w:sz w:val="32"/>
          <w:szCs w:val="32"/>
          <w:highlight w:val="none"/>
          <w:lang w:val="en-US" w:eastAsia="zh-CN"/>
        </w:rPr>
        <w:t>任办公室主任，</w:t>
      </w:r>
      <w:r>
        <w:rPr>
          <w:rFonts w:hint="eastAsia" w:ascii="Times New Roman" w:hAnsi="Times New Roman" w:eastAsia="仿宋_GB2312" w:cs="Times New Roman"/>
          <w:color w:val="auto"/>
          <w:sz w:val="32"/>
          <w:szCs w:val="32"/>
          <w:highlight w:val="none"/>
          <w:lang w:val="en-US" w:eastAsia="zh-CN"/>
        </w:rPr>
        <w:t>领导小组</w:t>
      </w:r>
      <w:r>
        <w:rPr>
          <w:rFonts w:hint="default" w:ascii="Times New Roman" w:hAnsi="Times New Roman" w:eastAsia="仿宋_GB2312" w:cs="Times New Roman"/>
          <w:color w:val="auto"/>
          <w:sz w:val="32"/>
          <w:szCs w:val="32"/>
          <w:highlight w:val="none"/>
          <w:lang w:val="en-US" w:eastAsia="zh-CN"/>
        </w:rPr>
        <w:t>负责</w:t>
      </w:r>
      <w:r>
        <w:rPr>
          <w:rFonts w:ascii="Times New Roman" w:hAnsi="Times New Roman" w:eastAsia="仿宋_GB2312" w:cs="Times New Roman"/>
          <w:color w:val="000000" w:themeColor="text1"/>
          <w:sz w:val="32"/>
          <w:szCs w:val="32"/>
          <w14:textFill>
            <w14:solidFill>
              <w14:schemeClr w14:val="tx1"/>
            </w14:solidFill>
          </w14:textFill>
        </w:rPr>
        <w:t>协调解决外来入侵物种普查工作中的重大问题，监督检查外来入侵物种普查工作任务落实情况，审议外来入侵物种普查成果，承办省</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市</w:t>
      </w:r>
      <w:r>
        <w:rPr>
          <w:rFonts w:ascii="Times New Roman" w:hAnsi="Times New Roman" w:eastAsia="仿宋_GB2312" w:cs="Times New Roman"/>
          <w:color w:val="000000" w:themeColor="text1"/>
          <w:sz w:val="32"/>
          <w:szCs w:val="32"/>
          <w14:textFill>
            <w14:solidFill>
              <w14:schemeClr w14:val="tx1"/>
            </w14:solidFill>
          </w14:textFill>
        </w:rPr>
        <w:t>外来入侵物种普查领导小组交办的其他工作。</w:t>
      </w:r>
      <w:r>
        <w:rPr>
          <w:rFonts w:hint="eastAsia" w:ascii="Times New Roman" w:hAnsi="Times New Roman" w:cs="Times New Roman"/>
          <w:color w:val="000000" w:themeColor="text1"/>
          <w:sz w:val="32"/>
          <w:szCs w:val="32"/>
          <w:lang w:eastAsia="zh-CN"/>
          <w14:textFill>
            <w14:solidFill>
              <w14:schemeClr w14:val="tx1"/>
            </w14:solidFill>
          </w14:textFill>
        </w:rPr>
        <w:t>同时成立“</w:t>
      </w:r>
      <w:r>
        <w:rPr>
          <w:rFonts w:hint="eastAsia" w:ascii="Times New Roman" w:hAnsi="Times New Roman" w:eastAsia="仿宋_GB2312" w:cs="Times New Roman"/>
          <w:spacing w:val="-20"/>
          <w:sz w:val="32"/>
          <w:lang w:eastAsia="zh-CN"/>
        </w:rPr>
        <w:t>绵竹市</w:t>
      </w:r>
      <w:r>
        <w:rPr>
          <w:rFonts w:hint="eastAsia" w:ascii="Times New Roman" w:hAnsi="Times New Roman" w:eastAsia="仿宋_GB2312" w:cs="Times New Roman"/>
          <w:b w:val="0"/>
          <w:bCs w:val="0"/>
          <w:spacing w:val="-20"/>
          <w:sz w:val="32"/>
          <w:lang w:val="en-US" w:eastAsia="zh-CN"/>
        </w:rPr>
        <w:t>2022</w:t>
      </w:r>
      <w:r>
        <w:rPr>
          <w:rFonts w:hint="eastAsia" w:ascii="Times New Roman" w:hAnsi="Times New Roman" w:eastAsia="仿宋_GB2312" w:cs="Times New Roman"/>
          <w:spacing w:val="-20"/>
          <w:sz w:val="32"/>
          <w:lang w:val="en-US" w:eastAsia="zh-CN"/>
        </w:rPr>
        <w:t>年</w:t>
      </w:r>
      <w:r>
        <w:rPr>
          <w:rFonts w:ascii="Times New Roman" w:hAnsi="Times New Roman" w:eastAsia="仿宋_GB2312" w:cs="Times New Roman"/>
          <w:spacing w:val="-20"/>
          <w:sz w:val="32"/>
        </w:rPr>
        <w:t>外来入侵物种普查工作技术</w:t>
      </w:r>
      <w:r>
        <w:rPr>
          <w:rFonts w:hint="eastAsia" w:ascii="Times New Roman" w:hAnsi="Times New Roman" w:eastAsia="仿宋_GB2312" w:cs="Times New Roman"/>
          <w:spacing w:val="-20"/>
          <w:sz w:val="32"/>
          <w:lang w:eastAsia="zh-CN"/>
        </w:rPr>
        <w:t>专家小</w:t>
      </w:r>
      <w:r>
        <w:rPr>
          <w:rFonts w:ascii="Times New Roman" w:hAnsi="Times New Roman" w:eastAsia="仿宋_GB2312" w:cs="Times New Roman"/>
          <w:spacing w:val="-20"/>
          <w:sz w:val="32"/>
        </w:rPr>
        <w:t>组</w:t>
      </w:r>
      <w:r>
        <w:rPr>
          <w:rFonts w:hint="eastAsia" w:ascii="Times New Roman" w:hAnsi="Times New Roman" w:cs="Times New Roman"/>
          <w:color w:val="000000" w:themeColor="text1"/>
          <w:sz w:val="32"/>
          <w:szCs w:val="32"/>
          <w:lang w:eastAsia="zh-CN"/>
          <w14:textFill>
            <w14:solidFill>
              <w14:schemeClr w14:val="tx1"/>
            </w14:solidFill>
          </w14:textFill>
        </w:rPr>
        <w:t>”</w:t>
      </w:r>
      <w:r>
        <w:rPr>
          <w:rFonts w:hint="eastAsia" w:ascii="Times New Roman" w:hAnsi="Times New Roman" w:cs="Times New Roman"/>
          <w:spacing w:val="-20"/>
          <w:sz w:val="32"/>
          <w:lang w:eastAsia="zh-CN"/>
        </w:rPr>
        <w:t>、“</w:t>
      </w:r>
      <w:r>
        <w:rPr>
          <w:rFonts w:hint="eastAsia" w:ascii="Times New Roman" w:hAnsi="Times New Roman" w:eastAsia="仿宋_GB2312" w:cs="Times New Roman"/>
          <w:sz w:val="32"/>
          <w:lang w:val="en-US" w:eastAsia="zh-CN"/>
        </w:rPr>
        <w:t>绵竹市</w:t>
      </w:r>
      <w:r>
        <w:rPr>
          <w:rFonts w:hint="eastAsia" w:ascii="Times New Roman" w:hAnsi="Times New Roman" w:eastAsia="仿宋_GB2312" w:cs="Times New Roman"/>
          <w:sz w:val="32"/>
          <w:highlight w:val="none"/>
          <w:lang w:eastAsia="zh-CN"/>
        </w:rPr>
        <w:t>农业外来入侵</w:t>
      </w:r>
      <w:r>
        <w:rPr>
          <w:rFonts w:ascii="Times New Roman" w:hAnsi="Times New Roman" w:eastAsia="仿宋_GB2312" w:cs="Times New Roman"/>
          <w:sz w:val="32"/>
          <w:highlight w:val="none"/>
        </w:rPr>
        <w:t>物种普查工作</w:t>
      </w:r>
      <w:r>
        <w:rPr>
          <w:rFonts w:hint="eastAsia" w:ascii="Times New Roman" w:hAnsi="Times New Roman" w:eastAsia="仿宋_GB2312" w:cs="Times New Roman"/>
          <w:sz w:val="32"/>
          <w:highlight w:val="none"/>
          <w:lang w:eastAsia="zh-CN"/>
        </w:rPr>
        <w:t>推进组</w:t>
      </w:r>
      <w:r>
        <w:rPr>
          <w:rFonts w:hint="eastAsia" w:ascii="Times New Roman" w:hAnsi="Times New Roman" w:cs="Times New Roman"/>
          <w:spacing w:val="-20"/>
          <w:sz w:val="32"/>
          <w:lang w:eastAsia="zh-CN"/>
        </w:rPr>
        <w:t>”，确定了</w:t>
      </w:r>
      <w:r>
        <w:rPr>
          <w:rFonts w:hint="eastAsia" w:ascii="Times New Roman" w:hAnsi="Times New Roman" w:eastAsia="仿宋_GB2312" w:cs="Times New Roman"/>
          <w:kern w:val="2"/>
          <w:sz w:val="32"/>
          <w:szCs w:val="22"/>
          <w:highlight w:val="none"/>
          <w:lang w:val="en-US" w:eastAsia="zh-CN" w:bidi="ar-SA"/>
        </w:rPr>
        <w:t>绵竹市各镇（街道）外来入侵物种普查质控员及普查员</w:t>
      </w:r>
      <w:r>
        <w:rPr>
          <w:rFonts w:hint="eastAsia" w:ascii="Times New Roman" w:hAnsi="Times New Roman" w:cs="Times New Roman"/>
          <w:kern w:val="2"/>
          <w:sz w:val="32"/>
          <w:szCs w:val="22"/>
          <w:highlight w:val="none"/>
          <w:lang w:val="en-US" w:eastAsia="zh-CN" w:bidi="ar-SA"/>
        </w:rPr>
        <w:t>，</w:t>
      </w:r>
      <w:r>
        <w:rPr>
          <w:rFonts w:cs="Times New Roman"/>
        </w:rPr>
        <w:t>明确了普查工作要求、工作任务、工作时限，建立了普查数据质量溯源和责任追究制度。</w:t>
      </w:r>
    </w:p>
    <w:p>
      <w:pPr>
        <w:adjustRightInd w:val="0"/>
        <w:snapToGrid w:val="0"/>
        <w:spacing w:line="600" w:lineRule="exact"/>
        <w:ind w:firstLine="720"/>
        <w:rPr>
          <w:rFonts w:hint="eastAsia" w:ascii="仿宋_GB2312" w:hAnsi="宋体"/>
          <w:lang w:val="zh-CN"/>
        </w:rPr>
      </w:pPr>
      <w:r>
        <w:rPr>
          <w:rFonts w:hint="eastAsia" w:ascii="仿宋_GB2312" w:hAnsi="宋体"/>
          <w:lang w:val="zh-CN"/>
        </w:rPr>
        <w:t>（二）项目管理情况。项目的实施严格按照相关法律法规及项目管理制度规定办理。</w:t>
      </w:r>
    </w:p>
    <w:p>
      <w:pPr>
        <w:adjustRightInd w:val="0"/>
        <w:snapToGrid w:val="0"/>
        <w:spacing w:line="600" w:lineRule="exact"/>
        <w:ind w:firstLine="720"/>
        <w:rPr>
          <w:rFonts w:hint="eastAsia" w:ascii="仿宋_GB2312" w:hAnsi="宋体"/>
          <w:lang w:val="zh-CN"/>
        </w:rPr>
      </w:pPr>
      <w:r>
        <w:rPr>
          <w:rFonts w:hint="eastAsia" w:ascii="仿宋_GB2312" w:hAnsi="宋体"/>
          <w:lang w:val="zh-CN"/>
        </w:rPr>
        <w:t>（三）项目监管情况。积极组织实施，加强监督管理，解决实施中的问题，检查实施质量，有效确保了项目质量和效果。</w:t>
      </w:r>
    </w:p>
    <w:p>
      <w:pPr>
        <w:adjustRightInd w:val="0"/>
        <w:snapToGrid w:val="0"/>
        <w:spacing w:line="600" w:lineRule="exact"/>
        <w:ind w:firstLine="720"/>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600" w:lineRule="exact"/>
        <w:ind w:firstLine="720"/>
        <w:rPr>
          <w:rFonts w:cs="Times New Roman"/>
        </w:rPr>
      </w:pPr>
      <w:r>
        <w:rPr>
          <w:rFonts w:hint="eastAsia" w:ascii="仿宋_GB2312" w:hAnsi="宋体"/>
          <w:lang w:val="zh-CN"/>
        </w:rPr>
        <w:t>截止评价，项目兑现财政资金</w:t>
      </w:r>
      <w:r>
        <w:rPr>
          <w:rFonts w:hint="eastAsia" w:ascii="仿宋" w:hAnsi="仿宋" w:eastAsia="仿宋" w:cs="仿宋"/>
          <w:b w:val="0"/>
          <w:bCs w:val="0"/>
          <w:sz w:val="32"/>
          <w:szCs w:val="32"/>
          <w:lang w:val="en-US" w:eastAsia="zh-CN"/>
        </w:rPr>
        <w:t>15.756万元，结余财政资金42.044万元</w:t>
      </w:r>
      <w:r>
        <w:rPr>
          <w:rFonts w:hint="eastAsia" w:ascii="仿宋_GB2312" w:hAnsi="宋体"/>
          <w:lang w:val="zh-CN"/>
        </w:rPr>
        <w:t>。</w:t>
      </w:r>
      <w:r>
        <w:rPr>
          <w:rFonts w:cs="Times New Roman"/>
        </w:rPr>
        <w:t>严格按照《农业外来入侵物种普查质量控制技术规定》，从普查准备、</w:t>
      </w:r>
      <w:bookmarkStart w:id="0" w:name="_Hlk121241730"/>
      <w:r>
        <w:rPr>
          <w:rFonts w:cs="Times New Roman"/>
        </w:rPr>
        <w:t>对象清查、数据采集、普查表填报和数据录入及汇总</w:t>
      </w:r>
      <w:bookmarkEnd w:id="0"/>
      <w:r>
        <w:rPr>
          <w:rFonts w:cs="Times New Roman"/>
        </w:rPr>
        <w:t>五个阶段分别详细阐述质量控制工作的具体开展情况，说明数据采集过程与方法、质控方法与措施。</w:t>
      </w:r>
    </w:p>
    <w:p>
      <w:pPr>
        <w:pStyle w:val="2"/>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1、普查方案及技术规定制定</w:t>
      </w:r>
    </w:p>
    <w:p>
      <w:pPr>
        <w:pStyle w:val="2"/>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cs="Times New Roman"/>
          <w:lang w:val="en-US" w:eastAsia="zh-CN"/>
        </w:rPr>
      </w:pPr>
      <w:r>
        <w:rPr>
          <w:rFonts w:hint="eastAsia" w:cs="Times New Roman"/>
          <w:lang w:val="en-US" w:eastAsia="zh-CN"/>
        </w:rPr>
        <w:t xml:space="preserve">由绵竹市农业农村局与第三方普查机构一道制定普查实施方案，推进组经研究讨论，认为该方案内容详实，可操作性强，可以按照该方案实施。普查技术规定参照《四川省农业外来入侵物种普查实施方案》（川农函〔2022〕48号）和《农业外来入侵物种普查面上调查技术规程（试行）》。 </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宋体" w:hAnsi="宋体" w:eastAsia="宋体" w:cs="宋体"/>
          <w:b/>
          <w:bCs/>
        </w:rPr>
      </w:pPr>
      <w:r>
        <w:rPr>
          <w:rFonts w:hint="eastAsia" w:ascii="宋体" w:hAnsi="宋体" w:eastAsia="宋体" w:cs="宋体"/>
          <w:lang w:val="en-US" w:eastAsia="zh-CN"/>
        </w:rPr>
        <w:t>2、</w:t>
      </w:r>
      <w:r>
        <w:rPr>
          <w:rFonts w:hint="eastAsia" w:ascii="宋体" w:hAnsi="宋体" w:eastAsia="宋体" w:cs="宋体"/>
          <w:b/>
          <w:bCs/>
        </w:rPr>
        <w:t>普查物资准备</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cs="Times New Roman"/>
        </w:rPr>
      </w:pPr>
      <w:r>
        <w:rPr>
          <w:rFonts w:hint="eastAsia" w:cs="Times New Roman"/>
        </w:rPr>
        <w:t>普查方案制定后，推进组将普查所需基础资料准备齐全，普查工具设备准备充足</w:t>
      </w:r>
      <w:r>
        <w:rPr>
          <w:rFonts w:hint="eastAsia" w:cs="Times New Roman"/>
          <w:lang w:eastAsia="zh-CN"/>
        </w:rPr>
        <w:t>。</w:t>
      </w:r>
      <w:r>
        <w:rPr>
          <w:rFonts w:hint="eastAsia" w:cs="Times New Roman"/>
        </w:rPr>
        <w:t>包括绵竹市第三次国土调查资料及其年度变更数据、绵竹市农业生产基本情况表、绵竹市最新行政区划调整情况及耕地面积表、绵竹市河道、水库信息表、绵竹市农业外来入侵物种相关资料记录等。</w:t>
      </w:r>
    </w:p>
    <w:p>
      <w:pPr>
        <w:pStyle w:val="2"/>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3、调查点位布设</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cs="Times New Roman"/>
          <w:lang w:eastAsia="zh-CN"/>
        </w:rPr>
      </w:pPr>
      <w:r>
        <w:rPr>
          <w:rFonts w:hint="eastAsia" w:cs="Times New Roman"/>
        </w:rPr>
        <w:t>第三方普查机构按照相应技术规范完成踏查点布设，共设置踏查点</w:t>
      </w:r>
      <w:r>
        <w:rPr>
          <w:rFonts w:cs="Times New Roman"/>
        </w:rPr>
        <w:t>205</w:t>
      </w:r>
      <w:r>
        <w:rPr>
          <w:rFonts w:hint="eastAsia" w:cs="Times New Roman"/>
        </w:rPr>
        <w:t>个，其中入侵植物65个，入侵病虫害1</w:t>
      </w:r>
      <w:r>
        <w:rPr>
          <w:rFonts w:cs="Times New Roman"/>
        </w:rPr>
        <w:t>27</w:t>
      </w:r>
      <w:r>
        <w:rPr>
          <w:rFonts w:hint="eastAsia" w:cs="Times New Roman"/>
        </w:rPr>
        <w:t>个，入侵水生动物13个，并提供点位分布及踏查路线图</w:t>
      </w:r>
      <w:r>
        <w:rPr>
          <w:rFonts w:hint="eastAsia" w:cs="Times New Roman"/>
          <w:lang w:eastAsia="zh-CN"/>
        </w:rPr>
        <w:t>。</w:t>
      </w:r>
    </w:p>
    <w:p>
      <w:pPr>
        <w:spacing w:line="640" w:lineRule="exact"/>
        <w:ind w:firstLine="640" w:firstLineChars="200"/>
        <w:rPr>
          <w:rFonts w:hint="eastAsia" w:cs="Times New Roman"/>
        </w:rPr>
      </w:pPr>
      <w:r>
        <w:rPr>
          <w:rFonts w:hint="eastAsia" w:cs="Times New Roman"/>
        </w:rPr>
        <w:t>第三方普查机构依据四川省普查清单和绵竹市农业外来入侵物种相关资料记录，结合文献、数据库查询及自身工作经验开展清查，形成绵竹市农业外来入侵物种普查清单，共计</w:t>
      </w:r>
      <w:r>
        <w:rPr>
          <w:rFonts w:cs="Times New Roman"/>
        </w:rPr>
        <w:t>197</w:t>
      </w:r>
      <w:r>
        <w:rPr>
          <w:rFonts w:hint="eastAsia" w:cs="Times New Roman"/>
        </w:rPr>
        <w:t>种。</w:t>
      </w:r>
    </w:p>
    <w:p>
      <w:pPr>
        <w:spacing w:line="640" w:lineRule="exact"/>
        <w:ind w:firstLine="643" w:firstLineChars="200"/>
        <w:rPr>
          <w:rFonts w:hint="eastAsia" w:ascii="宋体" w:hAnsi="宋体" w:eastAsia="宋体" w:cs="宋体"/>
          <w:b/>
          <w:bCs/>
          <w:szCs w:val="32"/>
        </w:rPr>
      </w:pPr>
      <w:r>
        <w:rPr>
          <w:rFonts w:hint="eastAsia" w:ascii="宋体" w:hAnsi="宋体" w:eastAsia="宋体" w:cs="宋体"/>
          <w:b/>
          <w:bCs/>
          <w:szCs w:val="32"/>
          <w:lang w:val="en-US" w:eastAsia="zh-CN"/>
        </w:rPr>
        <w:t>4、</w:t>
      </w:r>
      <w:r>
        <w:rPr>
          <w:rFonts w:hint="eastAsia" w:ascii="宋体" w:hAnsi="宋体" w:eastAsia="宋体" w:cs="宋体"/>
          <w:b/>
          <w:bCs/>
          <w:szCs w:val="32"/>
        </w:rPr>
        <w:t>对象清查情况</w:t>
      </w:r>
    </w:p>
    <w:p>
      <w:pPr>
        <w:spacing w:line="640" w:lineRule="exact"/>
        <w:ind w:firstLine="640" w:firstLineChars="200"/>
        <w:rPr>
          <w:rFonts w:hint="eastAsia" w:cs="Times New Roman"/>
        </w:rPr>
      </w:pPr>
      <w:r>
        <w:rPr>
          <w:rFonts w:hint="eastAsia" w:cs="Times New Roman"/>
        </w:rPr>
        <w:t>第三方普查机构依据四川省普查清单和绵竹市农业外来入侵物种相关资料记录，结合文献、数据库查询及自身工作经验开展清查，形成绵竹市农业外来入侵物种普查清单，共计</w:t>
      </w:r>
      <w:r>
        <w:rPr>
          <w:rFonts w:cs="Times New Roman"/>
        </w:rPr>
        <w:t>197</w:t>
      </w:r>
      <w:r>
        <w:rPr>
          <w:rFonts w:hint="eastAsia" w:cs="Times New Roman"/>
        </w:rPr>
        <w:t>种。</w:t>
      </w:r>
    </w:p>
    <w:p>
      <w:pPr>
        <w:spacing w:line="640" w:lineRule="exact"/>
        <w:ind w:firstLine="640" w:firstLineChars="200"/>
        <w:rPr>
          <w:rFonts w:hint="eastAsia" w:cs="Times New Roman"/>
          <w:lang w:eastAsia="zh-CN"/>
        </w:rPr>
      </w:pPr>
      <w:r>
        <w:rPr>
          <w:rFonts w:hint="eastAsia" w:cs="Times New Roman"/>
        </w:rPr>
        <w:t>推进组组织本地技术专家对普查清单开展核查，并与第三方普查机构进行了多次线上会商，根据当地农业外来入侵物种发生情况及普查数据库名单更新情况对清单进行部分调整，最终确定入侵物种数</w:t>
      </w:r>
      <w:r>
        <w:rPr>
          <w:rFonts w:cs="Times New Roman"/>
        </w:rPr>
        <w:t>205</w:t>
      </w:r>
      <w:r>
        <w:rPr>
          <w:rFonts w:hint="eastAsia" w:cs="Times New Roman"/>
        </w:rPr>
        <w:t>种的绵竹市农业外来入侵物种普查清单（附件四），并对四川省清单删减和增加的物种作了详细说明</w:t>
      </w:r>
      <w:r>
        <w:rPr>
          <w:rFonts w:hint="eastAsia" w:cs="Times New Roman"/>
          <w:lang w:eastAsia="zh-CN"/>
        </w:rPr>
        <w:t>。</w:t>
      </w:r>
    </w:p>
    <w:p>
      <w:pPr>
        <w:pStyle w:val="2"/>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ascii="宋体" w:hAnsi="宋体" w:eastAsia="宋体" w:cs="宋体"/>
          <w:b/>
          <w:bCs/>
          <w:szCs w:val="32"/>
        </w:rPr>
      </w:pPr>
      <w:r>
        <w:rPr>
          <w:rFonts w:hint="eastAsia" w:ascii="宋体" w:hAnsi="宋体" w:eastAsia="宋体" w:cs="宋体"/>
          <w:b/>
          <w:bCs/>
          <w:lang w:val="en-US" w:eastAsia="zh-CN"/>
        </w:rPr>
        <w:t>5、</w:t>
      </w:r>
      <w:r>
        <w:rPr>
          <w:rFonts w:hint="eastAsia" w:ascii="宋体" w:hAnsi="宋体" w:eastAsia="宋体" w:cs="宋体"/>
          <w:b/>
          <w:bCs/>
          <w:szCs w:val="32"/>
        </w:rPr>
        <w:t>数据采集情况</w:t>
      </w:r>
    </w:p>
    <w:p>
      <w:pPr>
        <w:pStyle w:val="2"/>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cs="Times New Roman"/>
        </w:rPr>
      </w:pPr>
      <w:r>
        <w:rPr>
          <w:rFonts w:hint="eastAsia" w:cs="Times New Roman"/>
        </w:rPr>
        <w:t>第三方普查机构分别于2</w:t>
      </w:r>
      <w:r>
        <w:rPr>
          <w:rFonts w:cs="Times New Roman"/>
        </w:rPr>
        <w:t>022</w:t>
      </w:r>
      <w:r>
        <w:rPr>
          <w:rFonts w:hint="eastAsia" w:cs="Times New Roman"/>
        </w:rPr>
        <w:t>年8月29-9月4日、9月22-</w:t>
      </w:r>
      <w:r>
        <w:rPr>
          <w:rFonts w:cs="Times New Roman"/>
        </w:rPr>
        <w:t>2</w:t>
      </w:r>
      <w:r>
        <w:rPr>
          <w:rFonts w:hint="eastAsia" w:cs="Times New Roman"/>
        </w:rPr>
        <w:t>5日在绵竹市开展农业外来入侵虫害踏查和样地调查，2022年9月20-25日在绵竹市开展农业外来入侵植物踏查和样地调查，推进组质控员全程参与调查，检查普查员采集、记录数据的过程是否符合规范要求，记录入侵物种的种类是否真实，发生规模、危害程度等信息是否准确。</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3" w:firstLineChars="200"/>
        <w:textAlignment w:val="auto"/>
        <w:rPr>
          <w:rFonts w:ascii="黑体" w:hAnsi="黑体" w:eastAsia="黑体" w:cs="Times New Roman"/>
          <w:b/>
          <w:bCs/>
          <w:szCs w:val="32"/>
        </w:rPr>
      </w:pPr>
      <w:r>
        <w:rPr>
          <w:rFonts w:hint="eastAsia" w:ascii="宋体" w:hAnsi="宋体" w:eastAsia="宋体" w:cs="宋体"/>
          <w:b/>
          <w:bCs/>
          <w:szCs w:val="32"/>
          <w:lang w:val="en-US" w:eastAsia="zh-CN"/>
        </w:rPr>
        <w:t>6、</w:t>
      </w:r>
      <w:r>
        <w:rPr>
          <w:rFonts w:hint="eastAsia" w:ascii="宋体" w:hAnsi="宋体" w:eastAsia="宋体" w:cs="宋体"/>
          <w:b/>
          <w:bCs/>
          <w:szCs w:val="32"/>
        </w:rPr>
        <w:t>普查表填报情况</w:t>
      </w:r>
      <w:r>
        <w:rPr>
          <w:rFonts w:hint="eastAsia" w:ascii="黑体" w:hAnsi="黑体" w:eastAsia="黑体" w:cs="Times New Roman"/>
          <w:b/>
          <w:bCs/>
          <w:szCs w:val="32"/>
        </w:rPr>
        <w:t xml:space="preserve">  </w:t>
      </w:r>
    </w:p>
    <w:p>
      <w:pPr>
        <w:pStyle w:val="2"/>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lang w:val="en-US" w:eastAsia="zh-CN"/>
        </w:rPr>
      </w:pPr>
      <w:r>
        <w:rPr>
          <w:rFonts w:hint="eastAsia" w:cs="Times New Roman"/>
        </w:rPr>
        <w:t>通过填表单位内部审核、普查机构会审和质量抽查审核</w:t>
      </w:r>
      <w:r>
        <w:rPr>
          <w:rFonts w:cs="Times New Roman"/>
        </w:rPr>
        <w:t>3</w:t>
      </w:r>
      <w:r>
        <w:rPr>
          <w:rFonts w:hint="eastAsia" w:cs="Times New Roman"/>
        </w:rPr>
        <w:t>种方式进行普查表填报核查。</w:t>
      </w:r>
    </w:p>
    <w:p>
      <w:pPr>
        <w:adjustRightInd w:val="0"/>
        <w:snapToGrid w:val="0"/>
        <w:spacing w:line="600" w:lineRule="exact"/>
        <w:ind w:firstLine="720"/>
        <w:rPr>
          <w:rFonts w:hint="eastAsia" w:ascii="楷体_GB2312" w:hAnsi="宋体" w:eastAsia="楷体_GB2312"/>
          <w:b/>
          <w:lang w:val="zh-CN"/>
        </w:rPr>
      </w:pPr>
      <w:r>
        <w:rPr>
          <w:rFonts w:hint="eastAsia" w:ascii="楷体_GB2312" w:hAnsi="宋体" w:eastAsia="楷体_GB2312"/>
          <w:b/>
          <w:lang w:val="zh-CN"/>
        </w:rPr>
        <w:t>（二）项目效益情况。</w:t>
      </w:r>
    </w:p>
    <w:p>
      <w:pPr>
        <w:adjustRightInd w:val="0"/>
        <w:snapToGrid w:val="0"/>
        <w:spacing w:line="600" w:lineRule="exact"/>
        <w:ind w:firstLine="720"/>
        <w:rPr>
          <w:rFonts w:hint="eastAsia" w:ascii="仿宋" w:hAnsi="仿宋" w:eastAsia="仿宋" w:cs="仿宋"/>
          <w:b w:val="0"/>
          <w:bCs w:val="0"/>
          <w:sz w:val="32"/>
          <w:szCs w:val="32"/>
          <w:lang w:val="zh-CN"/>
        </w:rPr>
      </w:pPr>
      <w:r>
        <w:rPr>
          <w:rFonts w:hint="eastAsia" w:ascii="仿宋" w:hAnsi="仿宋" w:eastAsia="仿宋" w:cs="仿宋"/>
          <w:b w:val="0"/>
          <w:bCs w:val="0"/>
          <w:color w:val="000000" w:themeColor="text1"/>
          <w:sz w:val="32"/>
          <w:lang w:eastAsia="zh-CN"/>
          <w14:textFill>
            <w14:solidFill>
              <w14:schemeClr w14:val="tx1"/>
            </w14:solidFill>
          </w14:textFill>
        </w:rPr>
        <w:t>主要开展农业外来入侵植物、农作物外来入侵病虫害和外来入侵水生动物普查，</w:t>
      </w:r>
      <w:r>
        <w:rPr>
          <w:rFonts w:hint="eastAsia" w:ascii="仿宋" w:hAnsi="仿宋" w:eastAsia="仿宋" w:cs="仿宋"/>
          <w:b w:val="0"/>
          <w:bCs w:val="0"/>
          <w:color w:val="000000" w:themeColor="text1"/>
          <w:sz w:val="32"/>
          <w14:textFill>
            <w14:solidFill>
              <w14:schemeClr w14:val="tx1"/>
            </w14:solidFill>
          </w14:textFill>
        </w:rPr>
        <w:t>摸清</w:t>
      </w:r>
      <w:r>
        <w:rPr>
          <w:rFonts w:hint="eastAsia" w:ascii="仿宋" w:hAnsi="仿宋" w:eastAsia="仿宋" w:cs="仿宋"/>
          <w:b w:val="0"/>
          <w:bCs w:val="0"/>
          <w:color w:val="000000" w:themeColor="text1"/>
          <w:sz w:val="32"/>
          <w:lang w:eastAsia="zh-CN"/>
          <w14:textFill>
            <w14:solidFill>
              <w14:schemeClr w14:val="tx1"/>
            </w14:solidFill>
          </w14:textFill>
        </w:rPr>
        <w:t>绵竹市</w:t>
      </w:r>
      <w:r>
        <w:rPr>
          <w:rFonts w:hint="eastAsia" w:ascii="仿宋" w:hAnsi="仿宋" w:eastAsia="仿宋" w:cs="仿宋"/>
          <w:b w:val="0"/>
          <w:bCs w:val="0"/>
          <w:color w:val="000000" w:themeColor="text1"/>
          <w:sz w:val="32"/>
          <w14:textFill>
            <w14:solidFill>
              <w14:schemeClr w14:val="tx1"/>
            </w14:solidFill>
          </w14:textFill>
        </w:rPr>
        <w:t>域内农业外来入侵物种的种类数量、分布范围、发生面积、危害程度等情况，</w:t>
      </w:r>
      <w:r>
        <w:rPr>
          <w:rFonts w:hint="eastAsia" w:ascii="仿宋" w:hAnsi="仿宋" w:eastAsia="仿宋" w:cs="仿宋"/>
          <w:b w:val="0"/>
          <w:bCs w:val="0"/>
          <w:color w:val="000000" w:themeColor="text1"/>
          <w:sz w:val="32"/>
          <w:lang w:eastAsia="zh-CN"/>
          <w14:textFill>
            <w14:solidFill>
              <w14:schemeClr w14:val="tx1"/>
            </w14:solidFill>
          </w14:textFill>
        </w:rPr>
        <w:t>构建外来入侵物种信息数据库，</w:t>
      </w:r>
      <w:r>
        <w:rPr>
          <w:rFonts w:hint="eastAsia" w:ascii="仿宋" w:hAnsi="仿宋" w:eastAsia="仿宋" w:cs="仿宋"/>
          <w:b w:val="0"/>
          <w:bCs w:val="0"/>
          <w:color w:val="000000" w:themeColor="text1"/>
          <w:sz w:val="32"/>
          <w14:textFill>
            <w14:solidFill>
              <w14:schemeClr w14:val="tx1"/>
            </w14:solidFill>
          </w14:textFill>
        </w:rPr>
        <w:t>分析外来入侵物种对</w:t>
      </w:r>
      <w:r>
        <w:rPr>
          <w:rFonts w:hint="eastAsia" w:ascii="仿宋" w:hAnsi="仿宋" w:eastAsia="仿宋" w:cs="仿宋"/>
          <w:b w:val="0"/>
          <w:bCs w:val="0"/>
          <w:color w:val="000000" w:themeColor="text1"/>
          <w:sz w:val="32"/>
          <w:lang w:eastAsia="zh-CN"/>
          <w14:textFill>
            <w14:solidFill>
              <w14:schemeClr w14:val="tx1"/>
            </w14:solidFill>
          </w14:textFill>
        </w:rPr>
        <w:t>绵竹市</w:t>
      </w:r>
      <w:r>
        <w:rPr>
          <w:rFonts w:hint="eastAsia" w:ascii="仿宋" w:hAnsi="仿宋" w:eastAsia="仿宋" w:cs="仿宋"/>
          <w:b w:val="0"/>
          <w:bCs w:val="0"/>
          <w:color w:val="000000" w:themeColor="text1"/>
          <w:sz w:val="32"/>
          <w14:textFill>
            <w14:solidFill>
              <w14:schemeClr w14:val="tx1"/>
            </w14:solidFill>
          </w14:textFill>
        </w:rPr>
        <w:t>经济、生态和社会的影响</w:t>
      </w:r>
      <w:r>
        <w:rPr>
          <w:rFonts w:hint="eastAsia" w:ascii="仿宋" w:hAnsi="仿宋" w:eastAsia="仿宋" w:cs="仿宋"/>
          <w:b w:val="0"/>
          <w:bCs w:val="0"/>
          <w:color w:val="000000" w:themeColor="text1"/>
          <w:sz w:val="32"/>
          <w:lang w:eastAsia="zh-CN"/>
          <w14:textFill>
            <w14:solidFill>
              <w14:schemeClr w14:val="tx1"/>
            </w14:solidFill>
          </w14:textFill>
        </w:rPr>
        <w:t>。在绵竹市</w:t>
      </w:r>
      <w:r>
        <w:rPr>
          <w:rFonts w:hint="eastAsia" w:ascii="仿宋" w:hAnsi="仿宋" w:eastAsia="仿宋" w:cs="仿宋"/>
          <w:b w:val="0"/>
          <w:bCs w:val="0"/>
          <w:color w:val="000000" w:themeColor="text1"/>
          <w:sz w:val="32"/>
          <w:lang w:val="en-US" w:eastAsia="zh-CN"/>
          <w14:textFill>
            <w14:solidFill>
              <w14:schemeClr w14:val="tx1"/>
            </w14:solidFill>
          </w14:textFill>
        </w:rPr>
        <w:t>12个镇（街道）开展</w:t>
      </w:r>
      <w:r>
        <w:rPr>
          <w:rFonts w:hint="eastAsia" w:ascii="仿宋" w:hAnsi="仿宋" w:eastAsia="仿宋" w:cs="仿宋"/>
          <w:b w:val="0"/>
          <w:bCs w:val="0"/>
          <w:color w:val="000000" w:themeColor="text1"/>
          <w:sz w:val="32"/>
          <w:lang w:eastAsia="zh-CN"/>
          <w14:textFill>
            <w14:solidFill>
              <w14:schemeClr w14:val="tx1"/>
            </w14:solidFill>
          </w14:textFill>
        </w:rPr>
        <w:t>专项普查调查；共设置踏查点205个，其中入侵植物65个，入侵病虫害127个，入侵水生动物13个；确定绵竹市农业外来入侵物种普查清单，形成绵竹市农业外来入侵物种普查质量控制报告；宣传培训（场次）</w:t>
      </w:r>
      <w:r>
        <w:rPr>
          <w:rFonts w:hint="eastAsia" w:ascii="仿宋" w:hAnsi="仿宋" w:eastAsia="仿宋" w:cs="仿宋"/>
          <w:b w:val="0"/>
          <w:bCs w:val="0"/>
          <w:color w:val="000000" w:themeColor="text1"/>
          <w:sz w:val="32"/>
          <w:lang w:val="en-US" w:eastAsia="zh-CN"/>
          <w14:textFill>
            <w14:solidFill>
              <w14:schemeClr w14:val="tx1"/>
            </w14:solidFill>
          </w14:textFill>
        </w:rPr>
        <w:t>4</w:t>
      </w:r>
      <w:r>
        <w:rPr>
          <w:rFonts w:hint="eastAsia" w:ascii="仿宋" w:hAnsi="仿宋" w:eastAsia="仿宋" w:cs="仿宋"/>
          <w:b w:val="0"/>
          <w:bCs w:val="0"/>
          <w:color w:val="000000" w:themeColor="text1"/>
          <w:sz w:val="32"/>
          <w:lang w:eastAsia="zh-CN"/>
          <w14:textFill>
            <w14:solidFill>
              <w14:schemeClr w14:val="tx1"/>
            </w14:solidFill>
          </w14:textFill>
        </w:rPr>
        <w:t>场次。</w:t>
      </w:r>
    </w:p>
    <w:p>
      <w:pPr>
        <w:adjustRightInd w:val="0"/>
        <w:snapToGrid w:val="0"/>
        <w:spacing w:line="600" w:lineRule="exact"/>
        <w:ind w:firstLine="720"/>
        <w:rPr>
          <w:rFonts w:ascii="黑体" w:hAnsi="宋体" w:eastAsia="黑体"/>
        </w:rPr>
      </w:pPr>
      <w:r>
        <w:rPr>
          <w:rFonts w:hint="eastAsia" w:ascii="黑体" w:hAnsi="宋体" w:eastAsia="黑体"/>
        </w:rPr>
        <w:t>五、评价结论及建议</w:t>
      </w:r>
    </w:p>
    <w:p>
      <w:pPr>
        <w:adjustRightInd w:val="0"/>
        <w:snapToGrid w:val="0"/>
        <w:spacing w:line="600" w:lineRule="exact"/>
        <w:ind w:firstLine="643" w:firstLineChars="200"/>
        <w:rPr>
          <w:rFonts w:hint="eastAsia" w:ascii="楷体_GB2312" w:hAnsi="宋体" w:eastAsia="楷体_GB2312"/>
          <w:b/>
          <w:lang w:val="zh-CN"/>
        </w:rPr>
      </w:pPr>
      <w:r>
        <w:rPr>
          <w:rFonts w:hint="eastAsia" w:ascii="楷体_GB2312" w:hAnsi="宋体" w:eastAsia="楷体_GB2312"/>
          <w:b/>
          <w:lang w:val="zh-CN"/>
        </w:rPr>
        <w:t>（一）存在的问题。</w:t>
      </w:r>
    </w:p>
    <w:p>
      <w:pPr>
        <w:spacing w:line="640" w:lineRule="exact"/>
        <w:ind w:firstLine="640" w:firstLineChars="200"/>
        <w:rPr>
          <w:rFonts w:cs="Times New Roman"/>
        </w:rPr>
      </w:pPr>
      <w:r>
        <w:rPr>
          <w:rFonts w:hint="eastAsia" w:cs="Times New Roman"/>
        </w:rPr>
        <w:t>1、</w:t>
      </w:r>
      <w:r>
        <w:rPr>
          <w:rFonts w:cs="Times New Roman"/>
        </w:rPr>
        <w:t>未能对</w:t>
      </w:r>
      <w:r>
        <w:rPr>
          <w:rFonts w:hint="eastAsia" w:cs="Times New Roman"/>
        </w:rPr>
        <w:t>小春</w:t>
      </w:r>
      <w:r>
        <w:rPr>
          <w:rFonts w:cs="Times New Roman"/>
        </w:rPr>
        <w:t>季节发生的农业外来入侵植物及入侵植物病虫害进行调查</w:t>
      </w:r>
      <w:r>
        <w:rPr>
          <w:rFonts w:hint="eastAsia" w:cs="Times New Roman"/>
        </w:rPr>
        <w:t>；</w:t>
      </w:r>
    </w:p>
    <w:p>
      <w:pPr>
        <w:spacing w:line="640" w:lineRule="exact"/>
        <w:ind w:firstLine="640" w:firstLineChars="200"/>
        <w:rPr>
          <w:rFonts w:cs="Times New Roman"/>
        </w:rPr>
      </w:pPr>
      <w:r>
        <w:rPr>
          <w:rFonts w:hint="eastAsia" w:cs="Times New Roman"/>
        </w:rPr>
        <w:t>2、因样地调查开展时间偏晚错过生育期，部分入侵物种的标准样地暂未能设置；</w:t>
      </w:r>
    </w:p>
    <w:p>
      <w:pPr>
        <w:spacing w:line="640" w:lineRule="exact"/>
        <w:ind w:firstLine="640" w:firstLineChars="200"/>
        <w:rPr>
          <w:rFonts w:cs="Times New Roman"/>
        </w:rPr>
      </w:pPr>
      <w:r>
        <w:rPr>
          <w:rFonts w:hint="eastAsia" w:cs="Times New Roman"/>
        </w:rPr>
        <w:t>3、部分入侵病虫害发生为害数量少，发生面积小，影响样地设置数量。</w:t>
      </w:r>
    </w:p>
    <w:p>
      <w:pPr>
        <w:spacing w:line="640" w:lineRule="exact"/>
        <w:ind w:firstLine="640" w:firstLineChars="200"/>
        <w:rPr>
          <w:rFonts w:cs="Times New Roman"/>
        </w:rPr>
      </w:pPr>
      <w:r>
        <w:rPr>
          <w:rFonts w:cs="Times New Roman"/>
        </w:rPr>
        <w:t>4</w:t>
      </w:r>
      <w:r>
        <w:rPr>
          <w:rFonts w:hint="eastAsia" w:cs="Times New Roman"/>
        </w:rPr>
        <w:t>、普查数据填报系统功能不完善影响录入效率，如手机app不能修改踏查路线及踏查点信息，不能删除已录入物种，web系统不能修改踏查点名称等；</w:t>
      </w:r>
    </w:p>
    <w:p>
      <w:pPr>
        <w:spacing w:line="640" w:lineRule="exact"/>
        <w:ind w:firstLine="640" w:firstLineChars="200"/>
        <w:rPr>
          <w:rFonts w:hint="eastAsia"/>
          <w:lang w:val="zh-CN"/>
        </w:rPr>
      </w:pPr>
      <w:r>
        <w:rPr>
          <w:rFonts w:cs="Times New Roman"/>
        </w:rPr>
        <w:t>5</w:t>
      </w:r>
      <w:r>
        <w:rPr>
          <w:rFonts w:hint="eastAsia" w:cs="Times New Roman"/>
        </w:rPr>
        <w:t>、普查系统存在诸多问题，如时常出现的长时间卡顿、回档以及填报后数据及图片错乱等，严重影像数据录入的正常开展。</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3" w:firstLineChars="200"/>
        <w:textAlignment w:val="auto"/>
        <w:rPr>
          <w:rFonts w:hint="eastAsia" w:ascii="楷体_GB2312" w:hAnsi="宋体" w:eastAsia="楷体_GB2312"/>
          <w:b/>
          <w:lang w:val="zh-CN"/>
        </w:rPr>
      </w:pPr>
      <w:r>
        <w:rPr>
          <w:rFonts w:hint="eastAsia" w:ascii="楷体_GB2312" w:hAnsi="宋体" w:eastAsia="楷体_GB2312"/>
          <w:b/>
          <w:lang w:val="zh-CN"/>
        </w:rPr>
        <w:t>（二）相关建议。</w:t>
      </w:r>
    </w:p>
    <w:p>
      <w:pPr>
        <w:spacing w:line="640" w:lineRule="exact"/>
        <w:ind w:firstLine="640" w:firstLineChars="200"/>
        <w:rPr>
          <w:rFonts w:cs="Times New Roman"/>
        </w:rPr>
      </w:pPr>
      <w:r>
        <w:rPr>
          <w:rFonts w:hint="eastAsia"/>
          <w:lang w:val="en-US" w:eastAsia="zh-CN"/>
        </w:rPr>
        <w:t xml:space="preserve"> </w:t>
      </w:r>
      <w:r>
        <w:rPr>
          <w:rFonts w:hint="eastAsia" w:cs="Times New Roman"/>
        </w:rPr>
        <w:t>建议主管部门尽快修复普查数据系统的各种问题并完善其功能，以保障数据录入的正常开展。</w:t>
      </w:r>
    </w:p>
    <w:p>
      <w:pPr>
        <w:pStyle w:val="4"/>
        <w:keepNext/>
        <w:keepLines/>
        <w:pageBreakBefore w:val="0"/>
        <w:widowControl w:val="0"/>
        <w:numPr>
          <w:ilvl w:val="3"/>
          <w:numId w:val="0"/>
        </w:numPr>
        <w:kinsoku/>
        <w:wordWrap/>
        <w:overflowPunct/>
        <w:topLinePunct w:val="0"/>
        <w:autoSpaceDE/>
        <w:autoSpaceDN/>
        <w:bidi w:val="0"/>
        <w:adjustRightInd/>
        <w:snapToGrid/>
        <w:ind w:leftChars="0" w:firstLine="643" w:firstLineChars="200"/>
        <w:textAlignment w:val="auto"/>
        <w:rPr>
          <w:rFonts w:hint="eastAsia" w:eastAsia="宋体"/>
          <w:color w:val="auto"/>
          <w:sz w:val="32"/>
          <w:szCs w:val="32"/>
          <w:lang w:val="en-US" w:eastAsia="zh-CN"/>
        </w:rPr>
      </w:pPr>
    </w:p>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05C60B"/>
    <w:multiLevelType w:val="multilevel"/>
    <w:tmpl w:val="7A05C60B"/>
    <w:lvl w:ilvl="0" w:tentative="0">
      <w:start w:val="1"/>
      <w:numFmt w:val="chineseCounting"/>
      <w:suff w:val="nothing"/>
      <w:lvlText w:val="第%1章 "/>
      <w:lvlJc w:val="left"/>
      <w:pPr>
        <w:ind w:left="432" w:hanging="432"/>
      </w:pPr>
      <w:rPr>
        <w:rFonts w:hint="eastAsia"/>
      </w:rPr>
    </w:lvl>
    <w:lvl w:ilvl="1" w:tentative="0">
      <w:start w:val="1"/>
      <w:numFmt w:val="decimal"/>
      <w:isLgl/>
      <w:lvlText w:val="%1.%2."/>
      <w:lvlJc w:val="left"/>
      <w:pPr>
        <w:ind w:left="575" w:hanging="575"/>
      </w:pPr>
      <w:rPr>
        <w:rFonts w:hint="eastAsia"/>
      </w:rPr>
    </w:lvl>
    <w:lvl w:ilvl="2" w:tentative="0">
      <w:start w:val="1"/>
      <w:numFmt w:val="decimal"/>
      <w:isLgl/>
      <w:lvlText w:val="%1.%2.%3."/>
      <w:lvlJc w:val="left"/>
      <w:pPr>
        <w:ind w:left="720" w:hanging="720"/>
      </w:pPr>
      <w:rPr>
        <w:rFonts w:hint="eastAsia"/>
      </w:rPr>
    </w:lvl>
    <w:lvl w:ilvl="3" w:tentative="0">
      <w:start w:val="1"/>
      <w:numFmt w:val="decimal"/>
      <w:pStyle w:val="4"/>
      <w:isLgl/>
      <w:lvlText w:val="%1.%2.%3.%4."/>
      <w:lvlJc w:val="left"/>
      <w:pPr>
        <w:ind w:left="864" w:hanging="864"/>
      </w:pPr>
      <w:rPr>
        <w:rFonts w:hint="eastAsia"/>
      </w:rPr>
    </w:lvl>
    <w:lvl w:ilvl="4" w:tentative="0">
      <w:start w:val="1"/>
      <w:numFmt w:val="decimal"/>
      <w:isLgl/>
      <w:lvlText w:val="%1.%2.%3.%4.%5."/>
      <w:lvlJc w:val="left"/>
      <w:pPr>
        <w:ind w:left="1008" w:hanging="1008"/>
      </w:pPr>
      <w:rPr>
        <w:rFonts w:hint="eastAsia"/>
      </w:rPr>
    </w:lvl>
    <w:lvl w:ilvl="5" w:tentative="0">
      <w:start w:val="1"/>
      <w:numFmt w:val="decimal"/>
      <w:isLgl/>
      <w:lvlText w:val="%1.%2.%3.%4.%5.%6."/>
      <w:lvlJc w:val="left"/>
      <w:pPr>
        <w:ind w:left="1151" w:hanging="1151"/>
      </w:pPr>
      <w:rPr>
        <w:rFonts w:hint="eastAsia"/>
      </w:rPr>
    </w:lvl>
    <w:lvl w:ilvl="6" w:tentative="0">
      <w:start w:val="1"/>
      <w:numFmt w:val="decimal"/>
      <w:isLgl/>
      <w:lvlText w:val="%1.%2.%3.%4.%5.%6.%7."/>
      <w:lvlJc w:val="left"/>
      <w:pPr>
        <w:ind w:left="1296" w:hanging="1296"/>
      </w:pPr>
      <w:rPr>
        <w:rFonts w:hint="eastAsia"/>
      </w:rPr>
    </w:lvl>
    <w:lvl w:ilvl="7" w:tentative="0">
      <w:start w:val="1"/>
      <w:numFmt w:val="decimal"/>
      <w:isLgl/>
      <w:lvlText w:val="%1.%2.%3.%4.%5.%6.%7.%8."/>
      <w:lvlJc w:val="left"/>
      <w:pPr>
        <w:ind w:left="1440" w:hanging="1440"/>
      </w:pPr>
      <w:rPr>
        <w:rFonts w:hint="eastAsia"/>
      </w:rPr>
    </w:lvl>
    <w:lvl w:ilvl="8" w:tentative="0">
      <w:start w:val="1"/>
      <w:numFmt w:val="decimal"/>
      <w:isLgl/>
      <w:lvlText w:val="%1.%2.%3.%4.%5.%6.%7.%8.%9."/>
      <w:lvlJc w:val="left"/>
      <w:pPr>
        <w:ind w:left="1583" w:hanging="1583"/>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yNmRkNDRmY2UwNjUyN2IwYTZjNWQzZWIyZTU2OTEifQ=="/>
  </w:docVars>
  <w:rsids>
    <w:rsidRoot w:val="31D43FB7"/>
    <w:rsid w:val="023506AE"/>
    <w:rsid w:val="02AA6ED4"/>
    <w:rsid w:val="060F7F33"/>
    <w:rsid w:val="17484EFD"/>
    <w:rsid w:val="18607071"/>
    <w:rsid w:val="222F1A27"/>
    <w:rsid w:val="29342BB6"/>
    <w:rsid w:val="301B6AB5"/>
    <w:rsid w:val="311D75B6"/>
    <w:rsid w:val="31D43FB7"/>
    <w:rsid w:val="359A690C"/>
    <w:rsid w:val="3B835E14"/>
    <w:rsid w:val="41BD296B"/>
    <w:rsid w:val="446A62B5"/>
    <w:rsid w:val="462F300C"/>
    <w:rsid w:val="56A319C9"/>
    <w:rsid w:val="61FD4793"/>
    <w:rsid w:val="633F4AF9"/>
    <w:rsid w:val="65B5753E"/>
    <w:rsid w:val="722D14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4">
    <w:name w:val="heading 4"/>
    <w:basedOn w:val="1"/>
    <w:next w:val="1"/>
    <w:qFormat/>
    <w:uiPriority w:val="0"/>
    <w:pPr>
      <w:keepNext/>
      <w:keepLines/>
      <w:numPr>
        <w:ilvl w:val="3"/>
        <w:numId w:val="1"/>
      </w:numPr>
      <w:tabs>
        <w:tab w:val="left" w:pos="420"/>
      </w:tabs>
      <w:outlineLvl w:val="3"/>
    </w:pPr>
    <w:rPr>
      <w:rFonts w:ascii="Arial" w:hAnsi="Arial" w:eastAsia="宋体"/>
      <w:b/>
      <w:bCs/>
      <w:kern w:val="0"/>
      <w:sz w:val="28"/>
      <w:szCs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firstLineChars="200"/>
    </w:pPr>
  </w:style>
  <w:style w:type="paragraph" w:styleId="3">
    <w:name w:val="Body Text Indent"/>
    <w:basedOn w:val="1"/>
    <w:unhideWhenUsed/>
    <w:qFormat/>
    <w:uiPriority w:val="99"/>
    <w:pPr>
      <w:spacing w:after="120"/>
      <w:ind w:left="420" w:leftChars="200"/>
    </w:pPr>
  </w:style>
  <w:style w:type="paragraph" w:styleId="5">
    <w:name w:val="footer"/>
    <w:basedOn w:val="1"/>
    <w:qFormat/>
    <w:uiPriority w:val="0"/>
    <w:pPr>
      <w:tabs>
        <w:tab w:val="center" w:pos="4153"/>
        <w:tab w:val="right" w:pos="8306"/>
      </w:tabs>
      <w:snapToGrid w:val="0"/>
      <w:jc w:val="left"/>
    </w:pPr>
    <w:rPr>
      <w:sz w:val="18"/>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 w:type="paragraph" w:customStyle="1" w:styleId="9">
    <w:name w:val="BodyText1I2"/>
    <w:basedOn w:val="10"/>
    <w:next w:val="1"/>
    <w:qFormat/>
    <w:uiPriority w:val="0"/>
    <w:pPr>
      <w:ind w:firstLine="420" w:firstLineChars="200"/>
    </w:pPr>
  </w:style>
  <w:style w:type="paragraph" w:customStyle="1" w:styleId="10">
    <w:name w:val="BodyTextIndent"/>
    <w:basedOn w:val="1"/>
    <w:qFormat/>
    <w:uiPriority w:val="0"/>
    <w:pPr>
      <w:ind w:left="420" w:leftChars="200"/>
    </w:pPr>
  </w:style>
  <w:style w:type="paragraph" w:styleId="11">
    <w:name w:val="List Paragraph"/>
    <w:basedOn w:val="1"/>
    <w:qFormat/>
    <w:uiPriority w:val="1"/>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3040</Words>
  <Characters>3158</Characters>
  <Lines>0</Lines>
  <Paragraphs>0</Paragraphs>
  <TotalTime>13</TotalTime>
  <ScaleCrop>false</ScaleCrop>
  <LinksUpToDate>false</LinksUpToDate>
  <CharactersWithSpaces>3169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2023-01-13T07:17:00Z</dcterms:created>
  <dc:creator>Administrator</dc:creator>
  <cp:lastModifiedBy>Administrator</cp:lastModifiedBy>
  <cp:lastPrinted>2023-04-23T08:03:51Z</cp:lastPrinted>
  <dcterms:modified xsi:type="dcterms:W3CDTF">2023-04-23T08:03:55Z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D503CFF1AFDF442787D2DBBAEB7B9CBE</vt:lpwstr>
  </property>
</Properties>
</file>