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44"/>
          <w:szCs w:val="44"/>
        </w:rPr>
      </w:pPr>
      <w:r>
        <w:rPr>
          <w:rFonts w:hint="eastAsia" w:ascii="黑体" w:hAnsi="黑体" w:eastAsia="黑体" w:cs="黑体"/>
          <w:sz w:val="44"/>
          <w:szCs w:val="44"/>
        </w:rPr>
        <w:t>项目支出绩效自评报告</w:t>
      </w:r>
    </w:p>
    <w:p>
      <w:pPr>
        <w:jc w:val="center"/>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（绵竹市人民政府</w:t>
      </w:r>
      <w:r>
        <w:rPr>
          <w:rFonts w:hint="eastAsia" w:ascii="仿宋" w:hAnsi="仿宋" w:eastAsia="仿宋"/>
          <w:sz w:val="32"/>
          <w:szCs w:val="32"/>
        </w:rPr>
        <w:t>2022年</w:t>
      </w:r>
      <w:r>
        <w:rPr>
          <w:rFonts w:hint="eastAsia" w:ascii="仿宋" w:hAnsi="仿宋" w:eastAsia="仿宋"/>
          <w:sz w:val="32"/>
          <w:szCs w:val="32"/>
          <w:lang w:val="en-US" w:eastAsia="zh-CN"/>
        </w:rPr>
        <w:t>农村产权交易政府运营补贴</w:t>
      </w:r>
      <w:r>
        <w:rPr>
          <w:rFonts w:hint="eastAsia" w:ascii="方正仿宋简体" w:hAnsi="方正仿宋简体" w:eastAsia="方正仿宋简体" w:cs="方正仿宋简体"/>
          <w:sz w:val="32"/>
          <w:szCs w:val="32"/>
        </w:rPr>
        <w:t>项目）</w:t>
      </w:r>
    </w:p>
    <w:p>
      <w:pPr>
        <w:adjustRightInd w:val="0"/>
        <w:snapToGrid w:val="0"/>
        <w:spacing w:line="580" w:lineRule="exact"/>
        <w:rPr>
          <w:rFonts w:ascii="黑体" w:hAnsi="宋体" w:eastAsia="黑体"/>
          <w:sz w:val="32"/>
          <w:szCs w:val="32"/>
        </w:rPr>
      </w:pPr>
    </w:p>
    <w:p>
      <w:pPr>
        <w:keepNext w:val="0"/>
        <w:keepLines w:val="0"/>
        <w:pageBreakBefore w:val="0"/>
        <w:numPr>
          <w:ilvl w:val="0"/>
          <w:numId w:val="1"/>
        </w:numPr>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项目概况</w:t>
      </w:r>
    </w:p>
    <w:p>
      <w:pPr>
        <w:keepNext w:val="0"/>
        <w:keepLines w:val="0"/>
        <w:pageBreakBefore w:val="0"/>
        <w:kinsoku/>
        <w:wordWrap/>
        <w:overflowPunct/>
        <w:topLinePunct w:val="0"/>
        <w:autoSpaceDE/>
        <w:autoSpaceDN/>
        <w:bidi w:val="0"/>
        <w:adjustRightInd w:val="0"/>
        <w:snapToGrid w:val="0"/>
        <w:spacing w:line="520" w:lineRule="exact"/>
        <w:textAlignment w:val="auto"/>
        <w:rPr>
          <w:rFonts w:ascii="华文仿宋" w:hAnsi="华文仿宋" w:eastAsia="华文仿宋" w:cs="华文仿宋"/>
          <w:b/>
          <w:bCs/>
          <w:sz w:val="32"/>
          <w:szCs w:val="32"/>
        </w:rPr>
      </w:pPr>
      <w:r>
        <w:rPr>
          <w:rFonts w:hint="eastAsia" w:ascii="黑体" w:hAnsi="黑体" w:eastAsia="黑体" w:cs="黑体"/>
          <w:sz w:val="32"/>
          <w:szCs w:val="32"/>
        </w:rPr>
        <w:t xml:space="preserve"> </w:t>
      </w:r>
      <w:r>
        <w:rPr>
          <w:rFonts w:hint="eastAsia" w:ascii="黑体" w:hAnsi="黑体" w:eastAsia="黑体" w:cs="黑体"/>
          <w:b/>
          <w:bCs/>
          <w:sz w:val="32"/>
          <w:szCs w:val="32"/>
        </w:rPr>
        <w:t xml:space="preserve"> </w:t>
      </w:r>
      <w:r>
        <w:rPr>
          <w:rFonts w:hint="eastAsia" w:ascii="华文仿宋" w:hAnsi="华文仿宋" w:eastAsia="华文仿宋" w:cs="华文仿宋"/>
          <w:b/>
          <w:bCs/>
          <w:sz w:val="32"/>
          <w:szCs w:val="32"/>
        </w:rPr>
        <w:t xml:space="preserve">（一）项目基本情况 </w:t>
      </w:r>
    </w:p>
    <w:p>
      <w:pPr>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成都农交所德阳所是由成德两地人民政府采取“合资共建”模式设立的，全国第一家市（州）级农村产权交易机构，也是德阳地区统筹城乡改革、农村金融及“三农”招商引资综合性服务平台。根据国务院办公厅《关于引导农村产权流转交易市场健康发展的意见》（国办发〔2014〕71号）、四川省人民政府《关于全省农村产权流转交易市场体系建设的指导意见》（川办发〔2015〕58号）文件精神，结合成渝地区双城经济圈建设深化要素一体化</w:t>
      </w:r>
      <w:r>
        <w:rPr>
          <w:rFonts w:ascii="Times New Roman" w:hAnsi="Times New Roman" w:eastAsia="仿宋_GB2312" w:cs="Times New Roman"/>
          <w:spacing w:val="-6"/>
          <w:sz w:val="32"/>
          <w:szCs w:val="32"/>
        </w:rPr>
        <w:t>发展内在需求，成都农交所德阳所于2017年12月12日挂牌成立</w:t>
      </w:r>
      <w:r>
        <w:rPr>
          <w:rFonts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德阳</w:t>
      </w:r>
      <w:r>
        <w:rPr>
          <w:rFonts w:hint="eastAsia" w:eastAsia="仿宋_GB2312" w:cs="Times New Roman"/>
          <w:sz w:val="32"/>
          <w:szCs w:val="32"/>
          <w:lang w:val="en-US" w:eastAsia="zh-CN"/>
        </w:rPr>
        <w:t>市人民政府办公室关于</w:t>
      </w:r>
      <w:r>
        <w:rPr>
          <w:rFonts w:hint="eastAsia" w:ascii="Times New Roman" w:hAnsi="Times New Roman" w:eastAsia="仿宋_GB2312" w:cs="Times New Roman"/>
          <w:sz w:val="32"/>
          <w:szCs w:val="32"/>
        </w:rPr>
        <w:t>《德阳市促进农村产权规范流转交易的实施方案》（德办发〔2020〕55号）文件中“自2021年起，德阳市级财政5年内每年给予成都农交所德阳所150万定额补助……各地财政对本地区县级农村产权服务中心每年给予30万至50万定额营运补助……各级补助均纳入本级财政年度预算”的要求</w:t>
      </w:r>
      <w:r>
        <w:rPr>
          <w:rFonts w:hint="eastAsia" w:eastAsia="仿宋_GB2312" w:cs="Times New Roman"/>
          <w:sz w:val="32"/>
          <w:szCs w:val="32"/>
          <w:lang w:eastAsia="zh-CN"/>
        </w:rPr>
        <w:t>，</w:t>
      </w:r>
      <w:r>
        <w:rPr>
          <w:rFonts w:hint="eastAsia" w:eastAsia="仿宋_GB2312" w:cs="Times New Roman"/>
          <w:sz w:val="32"/>
          <w:szCs w:val="32"/>
          <w:lang w:val="en-US" w:eastAsia="zh-CN"/>
        </w:rPr>
        <w:t>绵竹市人民政府每年向成都农交所德阳所拨付30万元用于绵竹服务中心的工作经费</w:t>
      </w:r>
      <w:r>
        <w:rPr>
          <w:rFonts w:hint="eastAsia"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spacing w:line="520" w:lineRule="exact"/>
        <w:ind w:firstLine="643" w:firstLineChars="200"/>
        <w:textAlignment w:val="auto"/>
        <w:rPr>
          <w:rFonts w:eastAsia="仿宋_GB2312"/>
          <w:sz w:val="32"/>
          <w:szCs w:val="32"/>
        </w:rPr>
      </w:pPr>
      <w:r>
        <w:rPr>
          <w:rFonts w:hint="eastAsia" w:eastAsia="仿宋_GB2312"/>
          <w:b/>
          <w:bCs/>
          <w:sz w:val="32"/>
          <w:szCs w:val="32"/>
        </w:rPr>
        <w:t>基本情况介绍：</w:t>
      </w:r>
      <w:r>
        <w:rPr>
          <w:rFonts w:hint="eastAsia" w:ascii="仿宋_GB2312" w:hAnsi="仿宋_GB2312" w:eastAsia="仿宋_GB2312" w:cs="仿宋_GB2312"/>
          <w:sz w:val="32"/>
          <w:szCs w:val="32"/>
        </w:rPr>
        <w:t>绵竹服务中心于2018年1月正式运营，在职员工3人，建设运营、人员培训、服务窗口于2018年3月投入使用，绵竹市农村产权交易平台的网络建设和软件平台、交易网站模块及后台数据管理指导、交易竞价软件应用以及后期培训工作于2018年4月底完成，2018年5月24日，绵竹市农村产权交易中心正式挂牌，在绵竹市委、市政府以及各主管部门的高度重视及支持帮助下，截至2020年底</w:t>
      </w:r>
      <w:r>
        <w:rPr>
          <w:rFonts w:hint="eastAsia" w:eastAsia="仿宋_GB2312"/>
          <w:sz w:val="32"/>
          <w:szCs w:val="32"/>
        </w:rPr>
        <w:t>，绵竹市</w:t>
      </w:r>
      <w:r>
        <w:rPr>
          <w:rFonts w:eastAsia="仿宋_GB2312"/>
          <w:sz w:val="32"/>
          <w:szCs w:val="32"/>
        </w:rPr>
        <w:t>市、</w:t>
      </w:r>
      <w:r>
        <w:rPr>
          <w:rFonts w:hint="eastAsia" w:eastAsia="仿宋_GB2312"/>
          <w:sz w:val="32"/>
          <w:szCs w:val="32"/>
        </w:rPr>
        <w:t>镇</w:t>
      </w:r>
      <w:r>
        <w:rPr>
          <w:rFonts w:eastAsia="仿宋_GB2312"/>
          <w:sz w:val="32"/>
          <w:szCs w:val="32"/>
        </w:rPr>
        <w:t>、村</w:t>
      </w:r>
      <w:r>
        <w:rPr>
          <w:rFonts w:hint="eastAsia" w:eastAsia="仿宋_GB2312"/>
          <w:sz w:val="32"/>
          <w:szCs w:val="32"/>
        </w:rPr>
        <w:t>三</w:t>
      </w:r>
      <w:r>
        <w:rPr>
          <w:rFonts w:eastAsia="仿宋_GB2312"/>
          <w:sz w:val="32"/>
          <w:szCs w:val="32"/>
        </w:rPr>
        <w:t>级农村产权交易服务体系</w:t>
      </w:r>
      <w:r>
        <w:rPr>
          <w:rFonts w:hint="eastAsia" w:eastAsia="仿宋_GB2312"/>
          <w:sz w:val="32"/>
          <w:szCs w:val="32"/>
        </w:rPr>
        <w:t>建设已</w:t>
      </w:r>
      <w:r>
        <w:rPr>
          <w:rFonts w:eastAsia="仿宋_GB2312"/>
          <w:sz w:val="32"/>
          <w:szCs w:val="32"/>
        </w:rPr>
        <w:t>基本建成</w:t>
      </w:r>
      <w:r>
        <w:rPr>
          <w:rFonts w:hint="eastAsia" w:eastAsia="仿宋_GB2312"/>
          <w:sz w:val="32"/>
          <w:szCs w:val="32"/>
        </w:rPr>
        <w:t>。交易中心有在职员工3人，主要负责</w:t>
      </w:r>
      <w:r>
        <w:rPr>
          <w:rFonts w:eastAsia="仿宋_GB2312"/>
          <w:sz w:val="32"/>
          <w:szCs w:val="32"/>
        </w:rPr>
        <w:t>全市各镇（</w:t>
      </w:r>
      <w:r>
        <w:rPr>
          <w:rFonts w:hint="eastAsia" w:eastAsia="仿宋_GB2312"/>
          <w:sz w:val="32"/>
          <w:szCs w:val="32"/>
        </w:rPr>
        <w:t>街道</w:t>
      </w:r>
      <w:r>
        <w:rPr>
          <w:rFonts w:eastAsia="仿宋_GB2312"/>
          <w:sz w:val="32"/>
          <w:szCs w:val="32"/>
        </w:rPr>
        <w:t>）、村全面开展农村产权交易政策宣传、规范流转、交易鉴证、融资担保、抵押贷款等“一站式”综合服务工作</w:t>
      </w:r>
      <w:r>
        <w:rPr>
          <w:rFonts w:hint="eastAsia" w:eastAsia="仿宋_GB2312"/>
          <w:sz w:val="32"/>
          <w:szCs w:val="32"/>
        </w:rPr>
        <w:t>，业务范围主要有四大类21小类，包括资源类、资产类、知识产权类、投融资服务类项目，其中涉及较多的有农村土地经营权、农村林地经营权、林地使用权、林木所有权转让、农村集体资产处置、农村闲置农房流转、大宗农产品交易、涉农政府采购、工程类（随机抽取）等</w:t>
      </w:r>
      <w:r>
        <w:rPr>
          <w:rFonts w:eastAsia="仿宋_GB2312"/>
          <w:sz w:val="32"/>
          <w:szCs w:val="32"/>
        </w:rPr>
        <w:t>。</w:t>
      </w:r>
    </w:p>
    <w:p>
      <w:pPr>
        <w:keepNext w:val="0"/>
        <w:keepLines w:val="0"/>
        <w:pageBreakBefore w:val="0"/>
        <w:kinsoku/>
        <w:wordWrap/>
        <w:overflowPunct/>
        <w:topLinePunct w:val="0"/>
        <w:autoSpaceDE/>
        <w:autoSpaceDN/>
        <w:bidi w:val="0"/>
        <w:spacing w:line="520" w:lineRule="exact"/>
        <w:ind w:firstLine="643" w:firstLineChars="200"/>
        <w:textAlignment w:val="auto"/>
        <w:rPr>
          <w:rFonts w:ascii="华文仿宋" w:hAnsi="华文仿宋" w:eastAsia="华文仿宋" w:cs="华文仿宋"/>
          <w:b/>
          <w:bCs/>
          <w:sz w:val="32"/>
          <w:szCs w:val="32"/>
        </w:rPr>
      </w:pPr>
      <w:r>
        <w:rPr>
          <w:rFonts w:hint="eastAsia" w:ascii="华文仿宋" w:hAnsi="华文仿宋" w:eastAsia="华文仿宋" w:cs="华文仿宋"/>
          <w:b/>
          <w:bCs/>
          <w:sz w:val="32"/>
          <w:szCs w:val="32"/>
        </w:rPr>
        <w:t>（二）项目绩效目标</w:t>
      </w:r>
    </w:p>
    <w:p>
      <w:pPr>
        <w:keepNext w:val="0"/>
        <w:keepLines w:val="0"/>
        <w:pageBreakBefore w:val="0"/>
        <w:kinsoku/>
        <w:wordWrap/>
        <w:overflowPunct/>
        <w:topLinePunct w:val="0"/>
        <w:autoSpaceDE/>
        <w:autoSpaceDN/>
        <w:bidi w:val="0"/>
        <w:spacing w:line="520" w:lineRule="exact"/>
        <w:ind w:firstLine="643" w:firstLineChars="200"/>
        <w:textAlignment w:val="auto"/>
        <w:rPr>
          <w:rFonts w:ascii="华文楷体" w:hAnsi="华文楷体" w:eastAsia="华文楷体" w:cs="华文楷体"/>
          <w:sz w:val="32"/>
          <w:szCs w:val="32"/>
        </w:rPr>
      </w:pPr>
      <w:r>
        <w:rPr>
          <w:rFonts w:hint="eastAsia" w:ascii="华文楷体" w:hAnsi="华文楷体" w:eastAsia="华文楷体" w:cs="华文楷体"/>
          <w:b/>
          <w:bCs/>
          <w:sz w:val="32"/>
          <w:szCs w:val="32"/>
        </w:rPr>
        <w:t>服务项目内容：</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1．建立成都农交所德阳所绵竹交易中心（以下简称“绵竹交易中心”），切实做到农村产权交易“统一交易规则、统一交易鉴证、统一服务标准、统一交易监管、统一信息发布、统一诚信建设”。</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按照《德阳市农村产权流转交易目录》（德办发〔2017〕62号）的要求进行绵竹市范围内的农村产权流转信息发布与交易组织，开展流转政策咨询、项目策划包装、投融资服务以及农村产权交割手续办理等服务工作。</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3．提供绵竹市农村产权交易平台的网络建设工作、负责软件平台技术支持和软件模块、交易网站模块建设及后台数据管理指导、交易竞价软件应用、后期培训工作； </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4．为绵竹市农村产权交易提供省、市农村产权流转相关政策文件、操作实务、交易鉴证及典型案例，指导绵竹交易中心开展信息发布、交易组织、咨询服务、业务培训、经纪人队伍建设等相关工作；</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 承担成都农交所德阳所绵竹服务中心的工作经费、人工成本、日常开销等支出，以市场化手段开展交易中心的业务工作；</w:t>
      </w:r>
    </w:p>
    <w:p>
      <w:pPr>
        <w:keepNext w:val="0"/>
        <w:keepLines w:val="0"/>
        <w:pageBreakBefore w:val="0"/>
        <w:kinsoku/>
        <w:wordWrap/>
        <w:overflowPunct/>
        <w:topLinePunct w:val="0"/>
        <w:autoSpaceDE/>
        <w:autoSpaceDN/>
        <w:bidi w:val="0"/>
        <w:spacing w:line="520" w:lineRule="exact"/>
        <w:ind w:firstLine="643" w:firstLineChars="200"/>
        <w:textAlignment w:val="auto"/>
        <w:rPr>
          <w:rFonts w:ascii="仿宋" w:hAnsi="仿宋" w:eastAsia="仿宋"/>
          <w:b/>
          <w:bCs/>
          <w:sz w:val="32"/>
          <w:szCs w:val="32"/>
        </w:rPr>
      </w:pPr>
      <w:r>
        <w:rPr>
          <w:rFonts w:hint="eastAsia" w:ascii="华文楷体" w:hAnsi="华文楷体" w:eastAsia="华文楷体" w:cs="华文楷体"/>
          <w:b/>
          <w:bCs/>
          <w:sz w:val="32"/>
          <w:szCs w:val="32"/>
          <w:lang w:eastAsia="zh-CN"/>
        </w:rPr>
        <w:t>（</w:t>
      </w:r>
      <w:r>
        <w:rPr>
          <w:rFonts w:hint="eastAsia" w:ascii="华文楷体" w:hAnsi="华文楷体" w:eastAsia="华文楷体" w:cs="华文楷体"/>
          <w:b/>
          <w:bCs/>
          <w:sz w:val="32"/>
          <w:szCs w:val="32"/>
          <w:lang w:val="en-US" w:eastAsia="zh-CN"/>
        </w:rPr>
        <w:t>三</w:t>
      </w:r>
      <w:r>
        <w:rPr>
          <w:rFonts w:hint="eastAsia" w:ascii="华文楷体" w:hAnsi="华文楷体" w:eastAsia="华文楷体" w:cs="华文楷体"/>
          <w:b/>
          <w:bCs/>
          <w:sz w:val="32"/>
          <w:szCs w:val="32"/>
          <w:lang w:eastAsia="zh-CN"/>
        </w:rPr>
        <w:t>）</w:t>
      </w:r>
      <w:r>
        <w:rPr>
          <w:rFonts w:hint="eastAsia" w:ascii="华文楷体" w:hAnsi="华文楷体" w:eastAsia="华文楷体" w:cs="华文楷体"/>
          <w:b/>
          <w:bCs/>
          <w:sz w:val="32"/>
          <w:szCs w:val="32"/>
        </w:rPr>
        <w:t>项目分析评价：</w:t>
      </w:r>
    </w:p>
    <w:p>
      <w:pPr>
        <w:keepNext w:val="0"/>
        <w:keepLines w:val="0"/>
        <w:pageBreakBefore w:val="0"/>
        <w:kinsoku/>
        <w:wordWrap/>
        <w:overflowPunct/>
        <w:topLinePunct w:val="0"/>
        <w:autoSpaceDE/>
        <w:autoSpaceDN/>
        <w:bidi w:val="0"/>
        <w:spacing w:line="520" w:lineRule="exact"/>
        <w:ind w:firstLine="640" w:firstLineChars="200"/>
        <w:textAlignment w:val="auto"/>
        <w:rPr>
          <w:rFonts w:ascii="方正仿宋简体" w:hAnsi="方正仿宋简体" w:eastAsia="方正仿宋简体" w:cs="方正仿宋简体"/>
          <w:b/>
          <w:bCs/>
          <w:sz w:val="32"/>
          <w:szCs w:val="32"/>
        </w:rPr>
      </w:pP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绵竹服务中心</w:t>
      </w:r>
      <w:r>
        <w:rPr>
          <w:rFonts w:hint="eastAsia" w:ascii="Times New Roman" w:hAnsi="Times New Roman" w:eastAsia="仿宋_GB2312" w:cs="Times New Roman"/>
          <w:sz w:val="32"/>
          <w:szCs w:val="32"/>
        </w:rPr>
        <w:t>累计成交项210宗，累计交易金额32388.699821万元，累计交易面积8513.265亩。其中资产处置项目28宗，交易金额为809.607万元；国有资产1宗，成交金额为3.34万元；土地经营权项目54宗，交易金额为3993.95万元，交易面积为8102.6亩；闲置农房19宗，交易金额为252.35万元；安置房1宗，交易金额为16.2万；政府采购项目11宗，交易金额为1048.5559万元；非政府采购项目37宗，交易金额为651.952884万元；线下工程招标37宗，交易金额为2756.866192万元；养殖水面经营权3宗，交易金额为5.73万元，交易面积为68.5亩；四荒地经营权4宗，交易金额267.352万元，交易面积112.15亩；林木砍伐权5宗，交易金额117.94494万元，交易面积229.999亩；粮食购销成交9宗，交易数量99800.34吨，交易金额22464.84688万元。</w:t>
      </w:r>
      <w:r>
        <w:rPr>
          <w:rFonts w:hint="eastAsia" w:ascii="Times New Roman" w:hAnsi="Times New Roman" w:eastAsia="仿宋_GB2312" w:cs="Times New Roman"/>
          <w:sz w:val="32"/>
          <w:szCs w:val="32"/>
          <w:lang w:val="en-US" w:eastAsia="zh-CN"/>
        </w:rPr>
        <w:t>超额</w:t>
      </w:r>
      <w:r>
        <w:rPr>
          <w:rFonts w:hint="eastAsia" w:ascii="Times New Roman" w:hAnsi="Times New Roman" w:eastAsia="仿宋_GB2312" w:cs="Times New Roman"/>
          <w:sz w:val="32"/>
          <w:szCs w:val="32"/>
        </w:rPr>
        <w:t>完</w:t>
      </w:r>
      <w:r>
        <w:rPr>
          <w:rFonts w:hint="eastAsia" w:ascii="Times New Roman" w:hAnsi="Times New Roman" w:eastAsia="仿宋_GB2312" w:cs="Times New Roman"/>
          <w:sz w:val="32"/>
          <w:szCs w:val="32"/>
          <w:lang w:val="en-US" w:eastAsia="zh-CN"/>
        </w:rPr>
        <w:t>绵竹市农业农村工作目标任务3亿；完成2022年绵竹市政府运营补贴30万元</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完成农村产权体系建设培训12次</w:t>
      </w:r>
      <w:r>
        <w:rPr>
          <w:rFonts w:hint="eastAsia" w:eastAsia="仿宋_GB2312" w:cs="Times New Roman"/>
          <w:sz w:val="32"/>
          <w:szCs w:val="32"/>
          <w:lang w:val="en-US" w:eastAsia="zh-CN"/>
        </w:rPr>
        <w:t>，</w:t>
      </w:r>
      <w:r>
        <w:rPr>
          <w:rFonts w:hint="eastAsia" w:ascii="仿宋" w:hAnsi="仿宋" w:eastAsia="仿宋"/>
          <w:sz w:val="32"/>
          <w:szCs w:val="32"/>
          <w:lang w:val="en-US" w:eastAsia="zh-CN"/>
        </w:rPr>
        <w:t>采取集中培训和分散培训等方式，</w:t>
      </w:r>
      <w:r>
        <w:rPr>
          <w:rFonts w:hint="eastAsia" w:ascii="华文仿宋" w:hAnsi="华文仿宋" w:eastAsia="华文仿宋" w:cs="华文仿宋"/>
          <w:b w:val="0"/>
          <w:bCs w:val="0"/>
          <w:sz w:val="32"/>
          <w:szCs w:val="32"/>
          <w:lang w:val="en-US" w:eastAsia="zh-CN"/>
        </w:rPr>
        <w:t>对全市村支部书记、村支部副书记及部分村、组干部开展了农村产权相关政策、法律政策、业务办理流程等一系列培训，培训共开展10</w:t>
      </w:r>
      <w:r>
        <w:rPr>
          <w:rFonts w:ascii="Times New Roman" w:hAnsi="Times New Roman" w:eastAsia="仿宋_GB2312" w:cs="Times New Roman"/>
          <w:color w:val="000000" w:themeColor="text1"/>
          <w:sz w:val="32"/>
          <w:szCs w:val="32"/>
          <w:shd w:val="clear" w:color="auto" w:fill="FFFFFF"/>
          <w14:textFill>
            <w14:solidFill>
              <w14:schemeClr w14:val="tx1"/>
            </w14:solidFill>
          </w14:textFill>
        </w:rPr>
        <w:t>场，培训</w:t>
      </w:r>
      <w:r>
        <w:rPr>
          <w:rFonts w:hint="eastAsia"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800余</w:t>
      </w:r>
      <w:r>
        <w:rPr>
          <w:rFonts w:ascii="Times New Roman" w:hAnsi="Times New Roman" w:eastAsia="仿宋_GB2312" w:cs="Times New Roman"/>
          <w:color w:val="000000" w:themeColor="text1"/>
          <w:sz w:val="32"/>
          <w:szCs w:val="32"/>
          <w:shd w:val="clear" w:color="auto" w:fill="FFFFFF"/>
          <w14:textFill>
            <w14:solidFill>
              <w14:schemeClr w14:val="tx1"/>
            </w14:solidFill>
          </w14:textFill>
        </w:rPr>
        <w:t>人</w:t>
      </w:r>
      <w:r>
        <w:rPr>
          <w:rFonts w:hint="eastAsia"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次</w:t>
      </w:r>
      <w:r>
        <w:rPr>
          <w:rFonts w:hint="eastAsia"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w:t>
      </w:r>
      <w:r>
        <w:rPr>
          <w:rFonts w:hint="eastAsia" w:ascii="华文仿宋" w:hAnsi="华文仿宋" w:eastAsia="华文仿宋" w:cs="华文仿宋"/>
          <w:b w:val="0"/>
          <w:bCs w:val="0"/>
          <w:sz w:val="32"/>
          <w:szCs w:val="32"/>
          <w:lang w:val="en-US" w:eastAsia="zh-CN"/>
        </w:rPr>
        <w:t>进一步夯实了绵竹“市、镇、村”三级农村产权交易体系的建设。</w:t>
      </w:r>
    </w:p>
    <w:p>
      <w:pPr>
        <w:keepNext w:val="0"/>
        <w:keepLines w:val="0"/>
        <w:pageBreakBefore w:val="0"/>
        <w:numPr>
          <w:ilvl w:val="0"/>
          <w:numId w:val="2"/>
        </w:numPr>
        <w:kinsoku/>
        <w:wordWrap/>
        <w:overflowPunct/>
        <w:topLinePunct w:val="0"/>
        <w:autoSpaceDE/>
        <w:autoSpaceDN/>
        <w:bidi w:val="0"/>
        <w:spacing w:line="520" w:lineRule="exact"/>
        <w:ind w:left="-13" w:leftChars="0" w:firstLine="643" w:firstLineChars="0"/>
        <w:textAlignment w:val="auto"/>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项目自评步骤及方法</w:t>
      </w:r>
    </w:p>
    <w:p>
      <w:pPr>
        <w:keepNext w:val="0"/>
        <w:keepLines w:val="0"/>
        <w:pageBreakBefore w:val="0"/>
        <w:kinsoku/>
        <w:wordWrap/>
        <w:overflowPunct/>
        <w:topLinePunct w:val="0"/>
        <w:autoSpaceDE/>
        <w:autoSpaceDN/>
        <w:bidi w:val="0"/>
        <w:spacing w:line="520" w:lineRule="exact"/>
        <w:textAlignment w:val="auto"/>
        <w:rPr>
          <w:rFonts w:eastAsia="仿宋_GB2312"/>
          <w:sz w:val="32"/>
          <w:szCs w:val="32"/>
        </w:rPr>
      </w:pPr>
      <w:r>
        <w:rPr>
          <w:rFonts w:hint="eastAsia" w:ascii="黑体" w:hAnsi="黑体" w:eastAsia="黑体" w:cs="黑体"/>
          <w:sz w:val="32"/>
          <w:szCs w:val="32"/>
        </w:rPr>
        <w:t xml:space="preserve">   </w:t>
      </w:r>
      <w:r>
        <w:rPr>
          <w:rFonts w:hint="eastAsia" w:eastAsia="仿宋_GB2312"/>
          <w:sz w:val="32"/>
          <w:szCs w:val="32"/>
        </w:rPr>
        <w:t xml:space="preserve"> </w:t>
      </w:r>
      <w:r>
        <w:rPr>
          <w:rFonts w:hint="eastAsia" w:eastAsia="仿宋_GB2312"/>
          <w:sz w:val="32"/>
          <w:szCs w:val="32"/>
          <w:lang w:val="en-US" w:eastAsia="zh-CN"/>
        </w:rPr>
        <w:t>成都农交所德阳所绵竹服务中心</w:t>
      </w:r>
      <w:r>
        <w:rPr>
          <w:rFonts w:hint="eastAsia" w:eastAsia="仿宋_GB2312"/>
          <w:sz w:val="32"/>
          <w:szCs w:val="32"/>
        </w:rPr>
        <w:t>202</w:t>
      </w:r>
      <w:r>
        <w:rPr>
          <w:rFonts w:hint="eastAsia" w:eastAsia="仿宋_GB2312"/>
          <w:sz w:val="32"/>
          <w:szCs w:val="32"/>
          <w:lang w:val="en-US" w:eastAsia="zh-CN"/>
        </w:rPr>
        <w:t>2</w:t>
      </w:r>
      <w:r>
        <w:rPr>
          <w:rFonts w:hint="eastAsia" w:eastAsia="仿宋_GB2312"/>
          <w:sz w:val="32"/>
          <w:szCs w:val="32"/>
        </w:rPr>
        <w:t>年初向该项目主管部门绵竹市农业农村局提出申请对本年度30万元</w:t>
      </w:r>
      <w:r>
        <w:rPr>
          <w:rFonts w:hint="eastAsia" w:eastAsia="仿宋_GB2312"/>
          <w:sz w:val="32"/>
          <w:szCs w:val="32"/>
          <w:lang w:val="en-US" w:eastAsia="zh-CN"/>
        </w:rPr>
        <w:t>农村产权运营补贴</w:t>
      </w:r>
      <w:r>
        <w:rPr>
          <w:rFonts w:hint="eastAsia" w:eastAsia="仿宋_GB2312"/>
          <w:sz w:val="32"/>
          <w:szCs w:val="32"/>
        </w:rPr>
        <w:t>资金的拨付，绵竹市农业农村局对该项目按照政府项目履约验收流程进行验收，验收合格后由绵竹市农业农村局分两次拨付该项目资金。</w:t>
      </w:r>
    </w:p>
    <w:p>
      <w:pPr>
        <w:keepNext w:val="0"/>
        <w:keepLines w:val="0"/>
        <w:pageBreakBefore w:val="0"/>
        <w:kinsoku/>
        <w:wordWrap/>
        <w:overflowPunct/>
        <w:topLinePunct w:val="0"/>
        <w:autoSpaceDE/>
        <w:autoSpaceDN/>
        <w:bidi w:val="0"/>
        <w:spacing w:line="520" w:lineRule="exact"/>
        <w:ind w:firstLine="320" w:firstLineChars="100"/>
        <w:textAlignment w:val="auto"/>
        <w:rPr>
          <w:rFonts w:ascii="黑体" w:hAnsi="黑体" w:eastAsia="黑体" w:cs="黑体"/>
          <w:sz w:val="32"/>
          <w:szCs w:val="32"/>
        </w:rPr>
      </w:pPr>
      <w:r>
        <w:rPr>
          <w:rFonts w:hint="eastAsia" w:eastAsia="仿宋_GB2312"/>
          <w:sz w:val="32"/>
          <w:szCs w:val="32"/>
        </w:rPr>
        <w:t xml:space="preserve">  </w:t>
      </w:r>
      <w:r>
        <w:rPr>
          <w:rFonts w:hint="eastAsia" w:ascii="黑体" w:hAnsi="黑体" w:eastAsia="黑体" w:cs="黑体"/>
          <w:sz w:val="32"/>
          <w:szCs w:val="32"/>
        </w:rPr>
        <w:t>二、项目资金申报及批复情况</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sz w:val="32"/>
          <w:szCs w:val="32"/>
        </w:rPr>
      </w:pPr>
      <w:r>
        <w:rPr>
          <w:rFonts w:hint="eastAsia" w:eastAsia="仿宋_GB2312"/>
          <w:sz w:val="32"/>
          <w:szCs w:val="32"/>
        </w:rPr>
        <w:t>该申请实施单位是成都农交所德阳农村产权交易有限公司，该公司财务管理制度健全，严格执行财务管理制度，财务处理及时，会计核算规范。</w:t>
      </w:r>
    </w:p>
    <w:p>
      <w:pPr>
        <w:keepNext w:val="0"/>
        <w:keepLines w:val="0"/>
        <w:pageBreakBefore w:val="0"/>
        <w:kinsoku/>
        <w:wordWrap/>
        <w:overflowPunct/>
        <w:topLinePunct w:val="0"/>
        <w:autoSpaceDE/>
        <w:autoSpaceDN/>
        <w:bidi w:val="0"/>
        <w:spacing w:line="520" w:lineRule="exact"/>
        <w:ind w:left="420" w:leftChars="200" w:firstLine="320" w:firstLineChars="100"/>
        <w:textAlignment w:val="auto"/>
        <w:rPr>
          <w:rFonts w:ascii="黑体" w:hAnsi="黑体" w:eastAsia="黑体" w:cs="黑体"/>
          <w:sz w:val="32"/>
          <w:szCs w:val="32"/>
        </w:rPr>
      </w:pPr>
      <w:r>
        <w:rPr>
          <w:rFonts w:hint="eastAsia" w:ascii="黑体" w:hAnsi="黑体" w:eastAsia="黑体" w:cs="黑体"/>
          <w:sz w:val="32"/>
          <w:szCs w:val="32"/>
        </w:rPr>
        <w:t>三、项目实施及管理情况</w:t>
      </w:r>
    </w:p>
    <w:p>
      <w:pPr>
        <w:keepNext w:val="0"/>
        <w:keepLines w:val="0"/>
        <w:pageBreakBefore w:val="0"/>
        <w:kinsoku/>
        <w:wordWrap/>
        <w:overflowPunct/>
        <w:topLinePunct w:val="0"/>
        <w:autoSpaceDE/>
        <w:autoSpaceDN/>
        <w:bidi w:val="0"/>
        <w:spacing w:line="520" w:lineRule="exact"/>
        <w:ind w:firstLine="640" w:firstLineChars="200"/>
        <w:textAlignment w:val="auto"/>
        <w:rPr>
          <w:rFonts w:ascii="仿宋" w:hAnsi="仿宋" w:eastAsia="仿宋"/>
          <w:sz w:val="32"/>
          <w:szCs w:val="32"/>
        </w:rPr>
      </w:pPr>
      <w:r>
        <w:rPr>
          <w:rFonts w:hint="eastAsia" w:ascii="仿宋_GB2312" w:hAnsi="仿宋_GB2312" w:eastAsia="仿宋_GB2312" w:cs="仿宋_GB2312"/>
          <w:sz w:val="32"/>
          <w:szCs w:val="32"/>
        </w:rPr>
        <w:t>绵竹服务中心以坚持和完善农村基本经营制度为前提，已保障农民和农村集体经济组织的财产权益为核心，以规范交易行为和完善服务功能为重点，扎实做好全市农村产权流转交易市场体系建设工作，充</w:t>
      </w:r>
      <w:bookmarkStart w:id="0" w:name="_GoBack"/>
      <w:bookmarkEnd w:id="0"/>
      <w:r>
        <w:rPr>
          <w:rFonts w:hint="eastAsia" w:ascii="仿宋_GB2312" w:hAnsi="仿宋_GB2312" w:eastAsia="仿宋_GB2312" w:cs="仿宋_GB2312"/>
          <w:sz w:val="32"/>
          <w:szCs w:val="32"/>
        </w:rPr>
        <w:t>分发挥市场在资源配置中的决定性作用，根据市委、市政府创新改革、成德同城、统筹城乡的战略部署，依托成都农交所德阳所，按照“统一交易制度、统一交易后台、统一清算结算、统一产品规划、统一市场管理”的“五统一”管理模式，建成覆盖全市、功能齐全、规范有序的农村产权交易流转市场，促进农村生产要素在城乡之间自由流动，提升农村资产资源价值，增强农村经济发展活力，增加农民财产性收入，推进我市现代农业发展。</w:t>
      </w:r>
      <w:r>
        <w:rPr>
          <w:rFonts w:ascii="仿宋" w:hAnsi="仿宋" w:eastAsia="仿宋"/>
          <w:sz w:val="32"/>
          <w:szCs w:val="32"/>
        </w:rPr>
        <w:t xml:space="preserve"> </w:t>
      </w:r>
    </w:p>
    <w:p>
      <w:pPr>
        <w:keepNext w:val="0"/>
        <w:keepLines w:val="0"/>
        <w:pageBreakBefore w:val="0"/>
        <w:kinsoku/>
        <w:wordWrap/>
        <w:overflowPunct/>
        <w:topLinePunct w:val="0"/>
        <w:autoSpaceDE/>
        <w:autoSpaceDN/>
        <w:bidi w:val="0"/>
        <w:spacing w:line="52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四、项目绩效情况</w:t>
      </w:r>
    </w:p>
    <w:p>
      <w:pPr>
        <w:keepNext w:val="0"/>
        <w:keepLines w:val="0"/>
        <w:pageBreakBefore w:val="0"/>
        <w:kinsoku/>
        <w:wordWrap/>
        <w:overflowPunct/>
        <w:topLinePunct w:val="0"/>
        <w:autoSpaceDE/>
        <w:autoSpaceDN/>
        <w:bidi w:val="0"/>
        <w:spacing w:line="520" w:lineRule="exact"/>
        <w:ind w:firstLine="643" w:firstLineChars="200"/>
        <w:textAlignment w:val="auto"/>
        <w:rPr>
          <w:rFonts w:eastAsia="仿宋_GB2312"/>
          <w:b/>
          <w:bCs/>
          <w:sz w:val="32"/>
          <w:szCs w:val="32"/>
        </w:rPr>
      </w:pPr>
      <w:r>
        <w:rPr>
          <w:rFonts w:hint="eastAsia" w:eastAsia="仿宋_GB2312"/>
          <w:b/>
          <w:bCs/>
          <w:sz w:val="32"/>
          <w:szCs w:val="32"/>
        </w:rPr>
        <w:t>（一）项目完成情况</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b/>
          <w:bCs/>
          <w:sz w:val="32"/>
          <w:szCs w:val="32"/>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年截止到12月31日</w:t>
      </w:r>
      <w:r>
        <w:rPr>
          <w:rFonts w:hint="eastAsia" w:ascii="仿宋" w:hAnsi="仿宋" w:eastAsia="仿宋"/>
          <w:sz w:val="32"/>
          <w:szCs w:val="32"/>
          <w:lang w:eastAsia="zh-CN"/>
        </w:rPr>
        <w:t>，</w:t>
      </w:r>
      <w:r>
        <w:rPr>
          <w:rFonts w:hint="eastAsia" w:ascii="Times New Roman" w:hAnsi="Times New Roman" w:eastAsia="仿宋_GB2312" w:cs="Times New Roman"/>
          <w:sz w:val="32"/>
          <w:szCs w:val="32"/>
          <w:lang w:val="en-US" w:eastAsia="zh-CN"/>
        </w:rPr>
        <w:t>绵竹服务中心</w:t>
      </w:r>
      <w:r>
        <w:rPr>
          <w:rFonts w:hint="eastAsia" w:ascii="仿宋" w:hAnsi="仿宋" w:eastAsia="仿宋"/>
          <w:sz w:val="32"/>
          <w:szCs w:val="32"/>
        </w:rPr>
        <w:t>已挂牌成交项目</w:t>
      </w:r>
      <w:r>
        <w:rPr>
          <w:rFonts w:hint="eastAsia" w:ascii="仿宋" w:hAnsi="仿宋" w:eastAsia="仿宋"/>
          <w:sz w:val="32"/>
          <w:szCs w:val="32"/>
          <w:lang w:val="en-US" w:eastAsia="zh-CN"/>
        </w:rPr>
        <w:t>共</w:t>
      </w:r>
      <w:r>
        <w:rPr>
          <w:rFonts w:hint="eastAsia" w:ascii="Times New Roman" w:hAnsi="Times New Roman" w:eastAsia="仿宋_GB2312" w:cs="Times New Roman"/>
          <w:sz w:val="32"/>
          <w:szCs w:val="32"/>
        </w:rPr>
        <w:t>210宗，累计交易金额32388.699821万元，累计交易面积8513.265亩</w:t>
      </w:r>
      <w:r>
        <w:rPr>
          <w:rFonts w:hint="eastAsia" w:ascii="仿宋" w:hAnsi="仿宋" w:eastAsia="仿宋"/>
          <w:sz w:val="32"/>
          <w:szCs w:val="32"/>
        </w:rPr>
        <w:t>，</w:t>
      </w:r>
      <w:r>
        <w:rPr>
          <w:rFonts w:hint="eastAsia" w:ascii="仿宋" w:hAnsi="仿宋" w:eastAsia="仿宋"/>
          <w:sz w:val="32"/>
          <w:szCs w:val="32"/>
          <w:lang w:val="en-US" w:eastAsia="zh-CN"/>
        </w:rPr>
        <w:t>绵竹服务中心</w:t>
      </w:r>
      <w:r>
        <w:rPr>
          <w:rFonts w:hint="eastAsia" w:ascii="仿宋" w:hAnsi="仿宋" w:eastAsia="仿宋"/>
          <w:sz w:val="32"/>
          <w:szCs w:val="32"/>
        </w:rPr>
        <w:t>提前一个月超额完成德阳市下达绵竹市</w:t>
      </w:r>
      <w:r>
        <w:rPr>
          <w:rFonts w:hint="eastAsia" w:ascii="仿宋" w:hAnsi="仿宋" w:eastAsia="仿宋"/>
          <w:sz w:val="32"/>
          <w:szCs w:val="32"/>
          <w:lang w:val="en-US" w:eastAsia="zh-CN"/>
        </w:rPr>
        <w:t>农业农村工作目标任务3</w:t>
      </w:r>
      <w:r>
        <w:rPr>
          <w:rFonts w:hint="eastAsia" w:ascii="仿宋" w:hAnsi="仿宋" w:eastAsia="仿宋"/>
          <w:sz w:val="32"/>
          <w:szCs w:val="32"/>
        </w:rPr>
        <w:t>亿</w:t>
      </w:r>
      <w:r>
        <w:rPr>
          <w:rFonts w:hint="eastAsia" w:ascii="仿宋" w:hAnsi="仿宋" w:eastAsia="仿宋"/>
          <w:sz w:val="32"/>
          <w:szCs w:val="32"/>
          <w:lang w:val="en-US" w:eastAsia="zh-CN"/>
        </w:rPr>
        <w:t>以上</w:t>
      </w:r>
      <w:r>
        <w:rPr>
          <w:rFonts w:hint="eastAsia" w:ascii="仿宋" w:hAnsi="仿宋" w:eastAsia="仿宋"/>
          <w:sz w:val="32"/>
          <w:szCs w:val="32"/>
        </w:rPr>
        <w:t>。</w:t>
      </w:r>
    </w:p>
    <w:p>
      <w:pPr>
        <w:keepNext w:val="0"/>
        <w:keepLines w:val="0"/>
        <w:pageBreakBefore w:val="0"/>
        <w:numPr>
          <w:ilvl w:val="0"/>
          <w:numId w:val="3"/>
        </w:numPr>
        <w:kinsoku/>
        <w:wordWrap/>
        <w:overflowPunct/>
        <w:topLinePunct w:val="0"/>
        <w:autoSpaceDE/>
        <w:autoSpaceDN/>
        <w:bidi w:val="0"/>
        <w:spacing w:line="520" w:lineRule="exact"/>
        <w:ind w:firstLine="643" w:firstLineChars="200"/>
        <w:textAlignment w:val="auto"/>
        <w:rPr>
          <w:rFonts w:eastAsia="仿宋_GB2312"/>
          <w:b/>
          <w:bCs/>
          <w:sz w:val="32"/>
          <w:szCs w:val="32"/>
        </w:rPr>
      </w:pPr>
      <w:r>
        <w:rPr>
          <w:rFonts w:hint="eastAsia" w:eastAsia="仿宋_GB2312"/>
          <w:b/>
          <w:bCs/>
          <w:sz w:val="32"/>
          <w:szCs w:val="32"/>
        </w:rPr>
        <w:t>项目效益情况</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sz w:val="32"/>
          <w:szCs w:val="32"/>
        </w:rPr>
      </w:pPr>
      <w:r>
        <w:rPr>
          <w:rFonts w:hint="eastAsia" w:eastAsia="仿宋_GB2312"/>
          <w:sz w:val="32"/>
          <w:szCs w:val="32"/>
        </w:rPr>
        <w:t>绵竹</w:t>
      </w:r>
      <w:r>
        <w:rPr>
          <w:rFonts w:hint="eastAsia" w:eastAsia="仿宋_GB2312"/>
          <w:sz w:val="32"/>
          <w:szCs w:val="32"/>
          <w:lang w:val="en-US" w:eastAsia="zh-CN"/>
        </w:rPr>
        <w:t>服务中心</w:t>
      </w:r>
      <w:r>
        <w:rPr>
          <w:rFonts w:hint="eastAsia" w:eastAsia="仿宋_GB2312"/>
          <w:sz w:val="32"/>
          <w:szCs w:val="32"/>
        </w:rPr>
        <w:t>202</w:t>
      </w:r>
      <w:r>
        <w:rPr>
          <w:rFonts w:hint="eastAsia" w:eastAsia="仿宋_GB2312"/>
          <w:sz w:val="32"/>
          <w:szCs w:val="32"/>
          <w:lang w:val="en-US" w:eastAsia="zh-CN"/>
        </w:rPr>
        <w:t>2</w:t>
      </w:r>
      <w:r>
        <w:rPr>
          <w:rFonts w:hint="eastAsia" w:eastAsia="仿宋_GB2312"/>
          <w:sz w:val="32"/>
          <w:szCs w:val="32"/>
        </w:rPr>
        <w:t>年在农村产权交易工作中继续坚持公益性和服务性</w:t>
      </w:r>
      <w:r>
        <w:rPr>
          <w:rFonts w:hint="eastAsia" w:eastAsia="仿宋_GB2312"/>
          <w:sz w:val="32"/>
          <w:szCs w:val="32"/>
          <w:lang w:eastAsia="zh-CN"/>
        </w:rPr>
        <w:t>。</w:t>
      </w:r>
      <w:r>
        <w:rPr>
          <w:rFonts w:hint="eastAsia" w:eastAsia="仿宋_GB2312"/>
          <w:sz w:val="32"/>
          <w:szCs w:val="32"/>
          <w:lang w:val="en-US" w:eastAsia="zh-CN"/>
        </w:rPr>
        <w:t>2022年</w:t>
      </w:r>
      <w:r>
        <w:rPr>
          <w:rFonts w:hint="eastAsia" w:ascii="华文仿宋" w:hAnsi="华文仿宋" w:eastAsia="华文仿宋" w:cs="华文仿宋"/>
          <w:b w:val="0"/>
          <w:bCs w:val="0"/>
          <w:color w:val="000000"/>
          <w:sz w:val="32"/>
          <w:szCs w:val="32"/>
          <w:lang w:val="en-US" w:eastAsia="zh-CN"/>
        </w:rPr>
        <w:t>共计</w:t>
      </w:r>
      <w:r>
        <w:rPr>
          <w:rFonts w:hint="eastAsia" w:ascii="华文仿宋" w:hAnsi="华文仿宋" w:eastAsia="华文仿宋" w:cs="华文仿宋"/>
          <w:b w:val="0"/>
          <w:bCs w:val="0"/>
          <w:color w:val="000000"/>
          <w:sz w:val="32"/>
          <w:szCs w:val="32"/>
          <w:highlight w:val="none"/>
          <w:lang w:val="en-US" w:eastAsia="zh-CN"/>
        </w:rPr>
        <w:t>汇总和发布各类农村产权项目信息230余条；协助、指导各镇、服务站点工作人员的办理农村产权交易项目300余次；拍摄视频16条，并通过抖音、员工个人视频号、朋友圈等多种方式进行推荐</w:t>
      </w:r>
      <w:r>
        <w:rPr>
          <w:rFonts w:hint="eastAsia" w:ascii="华文仿宋" w:hAnsi="华文仿宋" w:eastAsia="华文仿宋" w:cs="华文仿宋"/>
          <w:b w:val="0"/>
          <w:bCs w:val="0"/>
          <w:color w:val="000000"/>
          <w:sz w:val="32"/>
          <w:szCs w:val="32"/>
          <w:lang w:val="en-US" w:eastAsia="zh-CN"/>
        </w:rPr>
        <w:t>2022年通过“三书模式”办理安置房合同权利转让和闲置农房流转共20宗，增加农民财产性收入268万元，增加集体经济组织收益12万元；开展土地经营权、林权、水面养殖经营权等工作，集体经济组织增收391万元，极大地促进了乡村全面发展。</w:t>
      </w:r>
    </w:p>
    <w:p>
      <w:pPr>
        <w:keepNext w:val="0"/>
        <w:keepLines w:val="0"/>
        <w:pageBreakBefore w:val="0"/>
        <w:numPr>
          <w:ilvl w:val="0"/>
          <w:numId w:val="4"/>
        </w:numPr>
        <w:kinsoku/>
        <w:wordWrap/>
        <w:overflowPunct/>
        <w:topLinePunct w:val="0"/>
        <w:autoSpaceDE/>
        <w:autoSpaceDN/>
        <w:bidi w:val="0"/>
        <w:spacing w:line="52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评价结论及建议</w:t>
      </w:r>
    </w:p>
    <w:p>
      <w:pPr>
        <w:keepNext w:val="0"/>
        <w:keepLines w:val="0"/>
        <w:pageBreakBefore w:val="0"/>
        <w:kinsoku/>
        <w:wordWrap/>
        <w:overflowPunct/>
        <w:topLinePunct w:val="0"/>
        <w:autoSpaceDE/>
        <w:autoSpaceDN/>
        <w:bidi w:val="0"/>
        <w:spacing w:line="520" w:lineRule="exact"/>
        <w:textAlignment w:val="auto"/>
        <w:rPr>
          <w:rFonts w:eastAsia="仿宋_GB2312"/>
          <w:b/>
          <w:bCs/>
          <w:sz w:val="32"/>
          <w:szCs w:val="32"/>
        </w:rPr>
      </w:pPr>
      <w:r>
        <w:rPr>
          <w:rFonts w:hint="eastAsia" w:ascii="黑体" w:hAnsi="黑体" w:eastAsia="黑体" w:cs="黑体"/>
          <w:sz w:val="32"/>
          <w:szCs w:val="32"/>
        </w:rPr>
        <w:t xml:space="preserve">  </w:t>
      </w:r>
      <w:r>
        <w:rPr>
          <w:rFonts w:hint="eastAsia" w:eastAsia="仿宋_GB2312"/>
          <w:b/>
          <w:bCs/>
          <w:sz w:val="32"/>
          <w:szCs w:val="32"/>
        </w:rPr>
        <w:t xml:space="preserve"> （一）评价结论</w:t>
      </w:r>
    </w:p>
    <w:p>
      <w:pPr>
        <w:keepNext w:val="0"/>
        <w:keepLines w:val="0"/>
        <w:pageBreakBefore w:val="0"/>
        <w:kinsoku/>
        <w:wordWrap/>
        <w:overflowPunct/>
        <w:topLinePunct w:val="0"/>
        <w:autoSpaceDE/>
        <w:autoSpaceDN/>
        <w:bidi w:val="0"/>
        <w:spacing w:line="520" w:lineRule="exact"/>
        <w:ind w:firstLine="320" w:firstLineChars="100"/>
        <w:textAlignment w:val="auto"/>
        <w:rPr>
          <w:rFonts w:eastAsia="仿宋_GB2312"/>
          <w:sz w:val="32"/>
          <w:szCs w:val="32"/>
        </w:rPr>
      </w:pPr>
      <w:r>
        <w:rPr>
          <w:rFonts w:hint="eastAsia" w:eastAsia="仿宋_GB2312"/>
          <w:sz w:val="32"/>
          <w:szCs w:val="32"/>
        </w:rPr>
        <w:t xml:space="preserve">  成都农交所德阳所绵竹服务中心自202</w:t>
      </w:r>
      <w:r>
        <w:rPr>
          <w:rFonts w:hint="eastAsia" w:eastAsia="仿宋_GB2312"/>
          <w:sz w:val="32"/>
          <w:szCs w:val="32"/>
          <w:lang w:val="en-US" w:eastAsia="zh-CN"/>
        </w:rPr>
        <w:t>2</w:t>
      </w:r>
      <w:r>
        <w:rPr>
          <w:rFonts w:hint="eastAsia" w:eastAsia="仿宋_GB2312"/>
          <w:sz w:val="32"/>
          <w:szCs w:val="32"/>
        </w:rPr>
        <w:t>年各项工作正常开展，办公室设在绵竹市人民政府行政服务中心A区四楼，有三名专职工作人员，主要从事绵竹区域范围内的农业产权交易流转工作和农村产权交易体系建设工作。各项工作在德阳六县区均名列前茅，</w:t>
      </w:r>
      <w:r>
        <w:rPr>
          <w:rFonts w:hint="eastAsia" w:ascii="华文仿宋" w:hAnsi="华文仿宋" w:eastAsia="华文仿宋" w:cs="华文仿宋"/>
          <w:color w:val="000000"/>
          <w:sz w:val="32"/>
          <w:szCs w:val="32"/>
        </w:rPr>
        <w:t>在做好传统业务服务的同时，努力拓展业务辐射范围的深度和广度，</w:t>
      </w:r>
      <w:r>
        <w:rPr>
          <w:rFonts w:hint="eastAsia" w:eastAsia="仿宋_GB2312"/>
          <w:sz w:val="32"/>
          <w:szCs w:val="32"/>
        </w:rPr>
        <w:t xml:space="preserve">并取得多个全国第一、全省第一，受到社会各界的好评的赞誉。在土地规范流转工作和集体资产处置中，通过公开阳光的流转，为增加集体和农户的财产性收入，保护基层干部和乡村振兴做出了积极的贡献。  </w:t>
      </w:r>
    </w:p>
    <w:p>
      <w:pPr>
        <w:keepNext w:val="0"/>
        <w:keepLines w:val="0"/>
        <w:pageBreakBefore w:val="0"/>
        <w:kinsoku/>
        <w:wordWrap/>
        <w:overflowPunct/>
        <w:topLinePunct w:val="0"/>
        <w:autoSpaceDE/>
        <w:autoSpaceDN/>
        <w:bidi w:val="0"/>
        <w:spacing w:line="520" w:lineRule="exact"/>
        <w:ind w:left="420" w:leftChars="200" w:firstLine="321" w:firstLineChars="100"/>
        <w:textAlignment w:val="auto"/>
        <w:rPr>
          <w:rFonts w:eastAsia="仿宋_GB2312"/>
          <w:b/>
          <w:bCs/>
          <w:sz w:val="32"/>
          <w:szCs w:val="32"/>
        </w:rPr>
      </w:pPr>
      <w:r>
        <w:rPr>
          <w:rFonts w:hint="eastAsia" w:eastAsia="仿宋_GB2312"/>
          <w:b/>
          <w:bCs/>
          <w:sz w:val="32"/>
          <w:szCs w:val="32"/>
        </w:rPr>
        <w:t>（二）存在的问题</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华文仿宋" w:hAnsi="华文仿宋" w:eastAsia="华文仿宋" w:cs="华文仿宋"/>
          <w:color w:val="000000"/>
          <w:sz w:val="32"/>
          <w:szCs w:val="32"/>
          <w:lang w:val="en-US" w:eastAsia="zh-CN"/>
        </w:rPr>
      </w:pPr>
      <w:r>
        <w:rPr>
          <w:rFonts w:hint="eastAsia" w:ascii="华文仿宋" w:hAnsi="华文仿宋" w:eastAsia="华文仿宋" w:cs="华文仿宋"/>
          <w:color w:val="000000"/>
          <w:sz w:val="32"/>
          <w:szCs w:val="32"/>
          <w:lang w:val="en-US" w:eastAsia="zh-CN"/>
        </w:rPr>
        <w:t>一是绵竹市范围内大部分集体资产基本实现“应进必进”，但部分村、组集体资产、集体经济组织采购及非公开招标仍存在场外交易现象。</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华文仿宋" w:hAnsi="华文仿宋" w:eastAsia="华文仿宋" w:cs="华文仿宋"/>
          <w:color w:val="000000"/>
          <w:sz w:val="32"/>
          <w:szCs w:val="32"/>
          <w:lang w:val="en-US" w:eastAsia="zh-CN"/>
        </w:rPr>
      </w:pPr>
      <w:r>
        <w:rPr>
          <w:rFonts w:hint="eastAsia" w:ascii="华文仿宋" w:hAnsi="华文仿宋" w:eastAsia="华文仿宋" w:cs="华文仿宋"/>
          <w:color w:val="000000"/>
          <w:sz w:val="32"/>
          <w:szCs w:val="32"/>
          <w:lang w:val="en-US" w:eastAsia="zh-CN"/>
        </w:rPr>
        <w:t>二是绵竹市“县、乡、村”三级农村产权交易体系建设工作还未纳入绵竹市政府对镇(街道）目标督办考核，导致部分领导和基层干部对农村产权交易工作不熟悉、不重视。</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华文仿宋" w:hAnsi="华文仿宋" w:eastAsia="华文仿宋" w:cs="华文仿宋"/>
          <w:color w:val="000000"/>
          <w:sz w:val="32"/>
          <w:szCs w:val="32"/>
          <w:lang w:val="en-US" w:eastAsia="zh-CN"/>
        </w:rPr>
      </w:pPr>
      <w:r>
        <w:rPr>
          <w:rFonts w:hint="eastAsia" w:ascii="华文仿宋" w:hAnsi="华文仿宋" w:eastAsia="华文仿宋" w:cs="华文仿宋"/>
          <w:color w:val="000000"/>
          <w:sz w:val="32"/>
          <w:szCs w:val="32"/>
          <w:lang w:val="en-US" w:eastAsia="zh-CN"/>
        </w:rPr>
        <w:t>三是绵竹市虽然出台《关于进一步规范农村产权交易行为加强农村产权交易监督管理的通知》（竹农领办[2020]5号）文件，但是对集体经济组织的采购和非公开招标工程项目业务入场公开交易无具体管理办法。</w:t>
      </w:r>
    </w:p>
    <w:p>
      <w:pPr>
        <w:keepNext w:val="0"/>
        <w:keepLines w:val="0"/>
        <w:pageBreakBefore w:val="0"/>
        <w:kinsoku/>
        <w:wordWrap/>
        <w:overflowPunct/>
        <w:topLinePunct w:val="0"/>
        <w:autoSpaceDE/>
        <w:autoSpaceDN/>
        <w:bidi w:val="0"/>
        <w:spacing w:line="520" w:lineRule="exact"/>
        <w:ind w:firstLine="643" w:firstLineChars="200"/>
        <w:textAlignment w:val="auto"/>
        <w:rPr>
          <w:rFonts w:ascii="仿宋_GB2312" w:hAnsi="仿宋_GB2312" w:eastAsia="仿宋_GB2312" w:cs="仿宋_GB2312"/>
          <w:b/>
          <w:bCs/>
          <w:color w:val="000000"/>
          <w:sz w:val="32"/>
          <w:szCs w:val="32"/>
          <w:shd w:val="clear" w:color="auto" w:fill="FFFFFF"/>
        </w:rPr>
      </w:pPr>
      <w:r>
        <w:rPr>
          <w:rFonts w:hint="eastAsia" w:ascii="仿宋_GB2312" w:hAnsi="仿宋_GB2312" w:eastAsia="仿宋_GB2312" w:cs="仿宋_GB2312"/>
          <w:b/>
          <w:bCs/>
          <w:color w:val="000000"/>
          <w:sz w:val="32"/>
          <w:szCs w:val="32"/>
          <w:shd w:val="clear" w:color="auto" w:fill="FFFFFF"/>
        </w:rPr>
        <w:t>（三）相关建议</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华文仿宋" w:hAnsi="华文仿宋" w:eastAsia="华文仿宋" w:cs="华文仿宋"/>
          <w:b w:val="0"/>
          <w:bCs w:val="0"/>
          <w:color w:val="000000"/>
          <w:sz w:val="32"/>
          <w:szCs w:val="32"/>
          <w:lang w:val="en-US" w:eastAsia="zh-CN"/>
        </w:rPr>
      </w:pPr>
      <w:r>
        <w:rPr>
          <w:rFonts w:hint="eastAsia" w:ascii="仿宋_GB2312" w:eastAsia="仿宋_GB2312"/>
          <w:sz w:val="32"/>
          <w:szCs w:val="32"/>
        </w:rPr>
        <w:t>1、</w:t>
      </w:r>
      <w:r>
        <w:rPr>
          <w:rFonts w:hint="eastAsia" w:ascii="Times New Roman" w:hAnsi="Times New Roman" w:eastAsia="仿宋_GB2312" w:cs="Times New Roman"/>
          <w:sz w:val="32"/>
          <w:szCs w:val="32"/>
          <w:lang w:val="en-US" w:eastAsia="zh-CN"/>
        </w:rPr>
        <w:t>绵竹市纪委监委、市委组织部、市农业农村局等相关部门，</w:t>
      </w:r>
      <w:r>
        <w:rPr>
          <w:rFonts w:hint="eastAsia" w:eastAsia="仿宋_GB2312" w:cs="Times New Roman"/>
          <w:sz w:val="32"/>
          <w:szCs w:val="32"/>
          <w:lang w:val="en-US" w:eastAsia="zh-CN"/>
        </w:rPr>
        <w:t>应持续</w:t>
      </w:r>
      <w:r>
        <w:rPr>
          <w:rFonts w:hint="eastAsia" w:ascii="Times New Roman" w:hAnsi="Times New Roman" w:eastAsia="仿宋_GB2312" w:cs="Times New Roman"/>
          <w:sz w:val="32"/>
          <w:szCs w:val="32"/>
        </w:rPr>
        <w:t>规范农村集体“三资”管理，</w:t>
      </w:r>
      <w:r>
        <w:rPr>
          <w:rFonts w:hint="eastAsia" w:eastAsia="仿宋_GB2312" w:cs="Times New Roman"/>
          <w:sz w:val="32"/>
          <w:szCs w:val="32"/>
          <w:lang w:val="en-US" w:eastAsia="zh-CN"/>
        </w:rPr>
        <w:t>实现农村集体资产、集体经济组织采购和非公开招标工程项目规范阳光交易，</w:t>
      </w:r>
      <w:r>
        <w:rPr>
          <w:rFonts w:hint="eastAsia" w:ascii="Times New Roman" w:hAnsi="Times New Roman" w:eastAsia="仿宋_GB2312" w:cs="Times New Roman"/>
          <w:sz w:val="32"/>
          <w:szCs w:val="32"/>
        </w:rPr>
        <w:t>进一步规范集体资产交易，</w:t>
      </w:r>
      <w:r>
        <w:rPr>
          <w:rFonts w:hint="eastAsia" w:ascii="Times New Roman" w:hAnsi="Times New Roman" w:eastAsia="仿宋_GB2312" w:cs="Times New Roman"/>
          <w:sz w:val="32"/>
          <w:szCs w:val="32"/>
          <w:lang w:val="en-US" w:eastAsia="zh-CN"/>
        </w:rPr>
        <w:t>全面</w:t>
      </w:r>
      <w:r>
        <w:rPr>
          <w:rFonts w:hint="eastAsia" w:ascii="Times New Roman" w:hAnsi="Times New Roman" w:eastAsia="仿宋_GB2312" w:cs="Times New Roman"/>
          <w:sz w:val="32"/>
          <w:szCs w:val="32"/>
        </w:rPr>
        <w:t>实现应进必进。</w:t>
      </w:r>
    </w:p>
    <w:p>
      <w:pPr>
        <w:pStyle w:val="2"/>
        <w:keepNext w:val="0"/>
        <w:keepLines w:val="0"/>
        <w:pageBreakBefore w:val="0"/>
        <w:widowControl/>
        <w:kinsoku/>
        <w:wordWrap/>
        <w:overflowPunct/>
        <w:topLinePunct w:val="0"/>
        <w:autoSpaceDE/>
        <w:autoSpaceDN/>
        <w:bidi w:val="0"/>
        <w:spacing w:after="0" w:line="520" w:lineRule="exact"/>
        <w:ind w:firstLine="640" w:firstLineChars="200"/>
        <w:jc w:val="both"/>
        <w:textAlignment w:val="auto"/>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val="en-US" w:eastAsia="zh-CN"/>
        </w:rPr>
        <w:t>绵竹市</w:t>
      </w:r>
      <w:r>
        <w:rPr>
          <w:rFonts w:hint="eastAsia" w:ascii="Times New Roman" w:hAnsi="Times New Roman" w:eastAsia="仿宋_GB2312" w:cs="Times New Roman"/>
          <w:sz w:val="32"/>
          <w:szCs w:val="32"/>
          <w:lang w:val="en-US" w:eastAsia="zh-CN"/>
        </w:rPr>
        <w:t>委组织部、市委党校</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镇（街道）</w:t>
      </w:r>
      <w:r>
        <w:rPr>
          <w:rFonts w:hint="eastAsia" w:eastAsia="仿宋_GB2312" w:cs="Times New Roman"/>
          <w:sz w:val="32"/>
          <w:szCs w:val="32"/>
          <w:lang w:val="en-US" w:eastAsia="zh-CN"/>
        </w:rPr>
        <w:t>应将对各级</w:t>
      </w:r>
      <w:r>
        <w:rPr>
          <w:rFonts w:hint="eastAsia" w:ascii="Times New Roman" w:hAnsi="Times New Roman" w:eastAsia="仿宋_GB2312" w:cs="Times New Roman"/>
          <w:sz w:val="32"/>
          <w:szCs w:val="32"/>
          <w:lang w:val="en-US" w:eastAsia="zh-CN"/>
        </w:rPr>
        <w:t>干部、村党支部书记、新型农业经营主体等开展农村产权、法律政策等培训，为高效协同推进农村产权制度改革深化夯实理论基础，持续做好两项改革“后半篇”文章各项工作。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仿宋简体">
    <w:altName w:val="宋体"/>
    <w:panose1 w:val="02010601030101010101"/>
    <w:charset w:val="86"/>
    <w:family w:val="auto"/>
    <w:pitch w:val="default"/>
    <w:sig w:usb0="00000000" w:usb1="0000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华文仿宋">
    <w:altName w:val="仿宋_GB2312"/>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4A1A50"/>
    <w:multiLevelType w:val="singleLevel"/>
    <w:tmpl w:val="B34A1A50"/>
    <w:lvl w:ilvl="0" w:tentative="0">
      <w:start w:val="5"/>
      <w:numFmt w:val="chineseCounting"/>
      <w:suff w:val="nothing"/>
      <w:lvlText w:val="%1、"/>
      <w:lvlJc w:val="left"/>
      <w:rPr>
        <w:rFonts w:hint="eastAsia"/>
      </w:rPr>
    </w:lvl>
  </w:abstractNum>
  <w:abstractNum w:abstractNumId="1">
    <w:nsid w:val="BFF8A24B"/>
    <w:multiLevelType w:val="singleLevel"/>
    <w:tmpl w:val="BFF8A24B"/>
    <w:lvl w:ilvl="0" w:tentative="0">
      <w:start w:val="1"/>
      <w:numFmt w:val="chineseCounting"/>
      <w:suff w:val="nothing"/>
      <w:lvlText w:val="%1、"/>
      <w:lvlJc w:val="left"/>
      <w:rPr>
        <w:rFonts w:hint="eastAsia"/>
      </w:rPr>
    </w:lvl>
  </w:abstractNum>
  <w:abstractNum w:abstractNumId="2">
    <w:nsid w:val="C5287FF6"/>
    <w:multiLevelType w:val="singleLevel"/>
    <w:tmpl w:val="C5287FF6"/>
    <w:lvl w:ilvl="0" w:tentative="0">
      <w:start w:val="3"/>
      <w:numFmt w:val="chineseCounting"/>
      <w:suff w:val="nothing"/>
      <w:lvlText w:val="（%1）"/>
      <w:lvlJc w:val="left"/>
      <w:pPr>
        <w:ind w:left="-13"/>
      </w:pPr>
      <w:rPr>
        <w:rFonts w:hint="eastAsia"/>
      </w:rPr>
    </w:lvl>
  </w:abstractNum>
  <w:abstractNum w:abstractNumId="3">
    <w:nsid w:val="CCE2FC3B"/>
    <w:multiLevelType w:val="singleLevel"/>
    <w:tmpl w:val="CCE2FC3B"/>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YzcxNmFjOWU0MDU0NjVlZWM4NTczMTA1ZTYwMDYifQ=="/>
  </w:docVars>
  <w:rsids>
    <w:rsidRoot w:val="0F2F487F"/>
    <w:rsid w:val="000D3516"/>
    <w:rsid w:val="006D7B11"/>
    <w:rsid w:val="00945F5B"/>
    <w:rsid w:val="00A96F64"/>
    <w:rsid w:val="00AB4C19"/>
    <w:rsid w:val="00BA58CC"/>
    <w:rsid w:val="00BD77E3"/>
    <w:rsid w:val="061E77B5"/>
    <w:rsid w:val="09EA6797"/>
    <w:rsid w:val="0F2F487F"/>
    <w:rsid w:val="17E20184"/>
    <w:rsid w:val="1BA134CF"/>
    <w:rsid w:val="26984AAD"/>
    <w:rsid w:val="32E439AA"/>
    <w:rsid w:val="34A427F1"/>
    <w:rsid w:val="48C612FF"/>
    <w:rsid w:val="58CA10F5"/>
    <w:rsid w:val="597A578F"/>
    <w:rsid w:val="600E0991"/>
    <w:rsid w:val="64D43772"/>
    <w:rsid w:val="64F710AE"/>
    <w:rsid w:val="70396A46"/>
    <w:rsid w:val="7A553E28"/>
    <w:rsid w:val="7E320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after="150"/>
      <w:jc w:val="left"/>
    </w:pPr>
    <w:rPr>
      <w:kern w:val="0"/>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530</Words>
  <Characters>3027</Characters>
  <Lines>25</Lines>
  <Paragraphs>7</Paragraphs>
  <TotalTime>5</TotalTime>
  <ScaleCrop>false</ScaleCrop>
  <LinksUpToDate>false</LinksUpToDate>
  <CharactersWithSpaces>3550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2021-05-19T07:52:00Z</dcterms:created>
  <dc:creator>喜欢如初</dc:creator>
  <cp:lastModifiedBy>Administrator</cp:lastModifiedBy>
  <dcterms:modified xsi:type="dcterms:W3CDTF">2023-04-21T08:24:35Z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EB5ACA744D1F4CCCA1A848E330F5B7FC</vt:lpwstr>
  </property>
</Properties>
</file>