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line="580" w:lineRule="exact"/>
        <w:jc w:val="center"/>
        <w:rPr>
          <w:rFonts w:ascii="仿宋_GB2312" w:hAnsi="宋体" w:eastAsia="仿宋_GB2312"/>
          <w:color w:val="auto"/>
          <w:kern w:val="2"/>
          <w:sz w:val="32"/>
          <w:szCs w:val="32"/>
        </w:rPr>
      </w:pPr>
      <w:r>
        <w:rPr>
          <w:rFonts w:hint="eastAsia" w:ascii="方正小标宋简体" w:hAnsi="宋体" w:eastAsia="方正小标宋简体"/>
          <w:sz w:val="44"/>
          <w:szCs w:val="44"/>
        </w:rPr>
        <w:t>项目支出绩效自评报告</w:t>
      </w:r>
    </w:p>
    <w:p>
      <w:pPr>
        <w:spacing w:line="580" w:lineRule="exact"/>
        <w:jc w:val="center"/>
        <w:rPr>
          <w:rFonts w:ascii="仿宋_GB2312" w:hAnsi="宋体"/>
        </w:rPr>
      </w:pPr>
      <w:r>
        <w:rPr>
          <w:rFonts w:hint="eastAsia" w:ascii="仿宋_GB2312" w:hAnsi="宋体"/>
        </w:rPr>
        <w:t>（</w:t>
      </w:r>
      <w:r>
        <w:rPr>
          <w:rFonts w:hint="eastAsia" w:ascii="仿宋_GB2312" w:hAnsi="宋体"/>
          <w:lang w:val="en-US" w:eastAsia="zh-CN"/>
        </w:rPr>
        <w:t>省市两级乡村振兴转移支付资金项目</w:t>
      </w:r>
      <w:r>
        <w:rPr>
          <w:rFonts w:hint="default" w:ascii="仿宋_GB2312" w:hAnsi="宋体"/>
          <w:lang w:val="en-US" w:eastAsia="zh-CN"/>
        </w:rPr>
        <w:t>”</w:t>
      </w:r>
      <w:r>
        <w:rPr>
          <w:rFonts w:hint="eastAsia" w:ascii="仿宋_GB2312" w:hAnsi="宋体"/>
          <w:lang w:val="en-US" w:eastAsia="zh-CN"/>
        </w:rPr>
        <w:t>先进镇、示范村、园区奖补项目</w:t>
      </w:r>
      <w:r>
        <w:rPr>
          <w:rFonts w:hint="default" w:ascii="仿宋_GB2312" w:hAnsi="宋体"/>
          <w:lang w:val="en-US" w:eastAsia="zh-CN"/>
        </w:rPr>
        <w:t>”</w:t>
      </w:r>
      <w:r>
        <w:rPr>
          <w:rFonts w:hint="eastAsia" w:ascii="仿宋_GB2312" w:hAnsi="宋体"/>
        </w:rPr>
        <w:t>）</w:t>
      </w:r>
    </w:p>
    <w:p>
      <w:pPr>
        <w:pStyle w:val="4"/>
        <w:spacing w:line="580" w:lineRule="exact"/>
        <w:ind w:firstLine="640"/>
        <w:jc w:val="center"/>
        <w:rPr>
          <w:rFonts w:hint="eastAsia" w:ascii="宋体"/>
          <w:color w:val="auto"/>
          <w:kern w:val="2"/>
          <w:sz w:val="32"/>
          <w:szCs w:val="32"/>
        </w:rPr>
      </w:pPr>
    </w:p>
    <w:p>
      <w:pPr>
        <w:adjustRightInd w:val="0"/>
        <w:snapToGrid w:val="0"/>
        <w:spacing w:line="58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580" w:lineRule="exact"/>
        <w:ind w:firstLine="720"/>
        <w:rPr>
          <w:rFonts w:hint="default" w:ascii="仿宋_GB2312" w:hAnsi="仿宋_GB2312" w:cs="仿宋_GB2312"/>
          <w:lang w:val="en-US" w:eastAsia="zh-CN"/>
        </w:rPr>
      </w:pPr>
      <w:r>
        <w:rPr>
          <w:rFonts w:hint="eastAsia" w:ascii="楷体_GB2312" w:hAnsi="宋体" w:eastAsia="楷体_GB2312"/>
          <w:b/>
          <w:lang w:val="zh-CN"/>
        </w:rPr>
        <w:t>（一）项目基本情况。</w:t>
      </w:r>
      <w:r>
        <w:rPr>
          <w:rFonts w:hint="eastAsia" w:ascii="仿宋_GB2312" w:hAnsi="仿宋_GB2312" w:cs="仿宋_GB2312"/>
        </w:rPr>
        <w:t>为</w:t>
      </w:r>
      <w:r>
        <w:rPr>
          <w:rFonts w:hint="eastAsia" w:ascii="仿宋_GB2312" w:hAnsi="仿宋_GB2312" w:cs="仿宋_GB2312"/>
          <w:lang w:eastAsia="zh-CN"/>
        </w:rPr>
        <w:t>顺利实施乡村振兴转移支付资金项目，各项目镇村聘请第三方公司完成项目设计等前期工作。根据相关文件规定，奖补资金不得用于项目设计等经费支出，所以此项目资金由市财政局统筹安排。</w:t>
      </w:r>
      <w:r>
        <w:rPr>
          <w:rFonts w:hint="eastAsia" w:ascii="仿宋_GB2312" w:hAnsi="仿宋_GB2312" w:cs="仿宋_GB2312"/>
          <w:lang w:val="en-US" w:eastAsia="zh-CN"/>
        </w:rPr>
        <w:t>2022年财政预算资金286744.43元。</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580" w:lineRule="exact"/>
        <w:ind w:firstLine="720"/>
        <w:rPr>
          <w:rFonts w:hint="eastAsia" w:ascii="仿宋_GB2312" w:hAnsi="仿宋_GB2312" w:cs="仿宋_GB2312"/>
          <w:lang w:val="en-US" w:eastAsia="zh-CN"/>
        </w:rPr>
      </w:pPr>
      <w:r>
        <w:rPr>
          <w:rFonts w:hint="eastAsia" w:ascii="仿宋_GB2312" w:hAnsi="仿宋_GB2312" w:cs="仿宋_GB2312"/>
          <w:lang w:eastAsia="zh-CN"/>
        </w:rPr>
        <w:t>顺利实施乡村振兴转移支付资金项目，充分发挥奖补资金效益。</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pStyle w:val="5"/>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对项目资金使用情况、</w:t>
      </w:r>
      <w:r>
        <w:rPr>
          <w:rFonts w:hint="eastAsia" w:ascii="仿宋_GB2312" w:hAnsi="仿宋_GB2312" w:eastAsia="仿宋_GB2312" w:cs="仿宋_GB2312"/>
          <w:sz w:val="32"/>
          <w:szCs w:val="32"/>
          <w:lang w:eastAsia="zh-CN"/>
        </w:rPr>
        <w:t>资金管理情况</w:t>
      </w:r>
      <w:r>
        <w:rPr>
          <w:rFonts w:hint="eastAsia" w:ascii="仿宋_GB2312" w:hAnsi="仿宋_GB2312" w:eastAsia="仿宋_GB2312" w:cs="仿宋_GB2312"/>
          <w:sz w:val="32"/>
          <w:szCs w:val="32"/>
        </w:rPr>
        <w:t>及项目绩效等方面进行自查和评价。</w:t>
      </w:r>
    </w:p>
    <w:p>
      <w:pPr>
        <w:adjustRightInd w:val="0"/>
        <w:snapToGrid w:val="0"/>
        <w:spacing w:line="58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580" w:lineRule="exact"/>
        <w:ind w:firstLine="720"/>
        <w:rPr>
          <w:rFonts w:hint="eastAsia" w:ascii="仿宋_GB2312" w:hAnsi="宋体"/>
          <w:highlight w:val="none"/>
          <w:lang w:val="zh-CN"/>
        </w:rPr>
      </w:pPr>
      <w:r>
        <w:rPr>
          <w:rFonts w:hint="eastAsia" w:ascii="仿宋_GB2312" w:hAnsi="宋体"/>
          <w:highlight w:val="none"/>
          <w:lang w:val="zh-CN"/>
        </w:rPr>
        <w:t>市农业农村局根据各项目镇村实际产生的费用安排项目资金。涉及九龙镇、广济镇和富新镇等。</w:t>
      </w:r>
      <w:r>
        <w:rPr>
          <w:rFonts w:hint="eastAsia" w:ascii="仿宋_GB2312" w:hAnsi="宋体"/>
          <w:highlight w:val="none"/>
          <w:lang w:val="en-US" w:eastAsia="zh-CN"/>
        </w:rPr>
        <w:t>在</w:t>
      </w:r>
      <w:r>
        <w:rPr>
          <w:rFonts w:hint="eastAsia" w:ascii="仿宋_GB2312" w:hAnsi="宋体"/>
          <w:highlight w:val="none"/>
          <w:lang w:val="zh-CN"/>
        </w:rPr>
        <w:t>收到费用相关资料后，绵竹市农业农村局按照资金拨付程序进行拨付。</w:t>
      </w:r>
    </w:p>
    <w:p>
      <w:pPr>
        <w:adjustRightInd w:val="0"/>
        <w:snapToGrid w:val="0"/>
        <w:spacing w:line="580" w:lineRule="exact"/>
        <w:ind w:firstLine="720"/>
        <w:rPr>
          <w:rFonts w:ascii="仿宋_GB2312" w:hAnsi="宋体"/>
          <w:lang w:val="zh-CN"/>
        </w:rPr>
      </w:pPr>
      <w:r>
        <w:rPr>
          <w:rFonts w:hint="eastAsia" w:ascii="楷体_GB2312" w:hAnsi="宋体" w:eastAsia="楷体_GB2312"/>
          <w:b/>
          <w:lang w:val="zh-CN"/>
        </w:rPr>
        <w:t>（二）资金计划、到位及使用情况。</w:t>
      </w:r>
    </w:p>
    <w:p>
      <w:pPr>
        <w:adjustRightInd w:val="0"/>
        <w:snapToGrid w:val="0"/>
        <w:spacing w:line="580" w:lineRule="exact"/>
        <w:ind w:firstLine="720"/>
        <w:rPr>
          <w:rFonts w:hint="eastAsia" w:ascii="仿宋_GB2312" w:hAnsi="宋体"/>
          <w:lang w:val="zh-CN"/>
        </w:rPr>
      </w:pPr>
      <w:r>
        <w:rPr>
          <w:rFonts w:hint="eastAsia" w:ascii="仿宋_GB2312" w:hAnsi="宋体"/>
          <w:lang w:val="en-US" w:eastAsia="zh-CN"/>
        </w:rPr>
        <w:t>2022年省市两级乡村振兴转移支付资金项目前期工作经费</w:t>
      </w:r>
      <w:r>
        <w:rPr>
          <w:rFonts w:hint="eastAsia" w:ascii="仿宋_GB2312" w:hAnsi="宋体"/>
          <w:lang w:val="zh-CN"/>
        </w:rPr>
        <w:t>已到位</w:t>
      </w:r>
      <w:r>
        <w:rPr>
          <w:rFonts w:hint="eastAsia" w:ascii="仿宋_GB2312" w:hAnsi="宋体"/>
          <w:lang w:val="en-US" w:eastAsia="zh-CN"/>
        </w:rPr>
        <w:t>286744.43元</w:t>
      </w:r>
      <w:r>
        <w:rPr>
          <w:rFonts w:hint="eastAsia" w:ascii="仿宋_GB2312" w:hAnsi="宋体"/>
          <w:lang w:val="zh-CN"/>
        </w:rPr>
        <w:t>，绵竹市农业农村局按照资金拨付程序进行拨付，截止</w:t>
      </w:r>
      <w:r>
        <w:rPr>
          <w:rFonts w:hint="eastAsia" w:ascii="仿宋_GB2312" w:hAnsi="宋体"/>
          <w:lang w:val="en-US" w:eastAsia="zh-CN"/>
        </w:rPr>
        <w:t>2022年底</w:t>
      </w:r>
      <w:r>
        <w:rPr>
          <w:rFonts w:hint="eastAsia" w:ascii="仿宋_GB2312" w:hAnsi="宋体"/>
          <w:highlight w:val="none"/>
          <w:lang w:val="zh-CN"/>
        </w:rPr>
        <w:t>该资金已支付</w:t>
      </w:r>
      <w:r>
        <w:rPr>
          <w:rFonts w:hint="eastAsia" w:ascii="仿宋_GB2312" w:hAnsi="仿宋_GB2312" w:cs="仿宋_GB2312"/>
          <w:lang w:val="en-US" w:eastAsia="zh-CN"/>
        </w:rPr>
        <w:t>274514.43元</w:t>
      </w:r>
      <w:r>
        <w:rPr>
          <w:rFonts w:hint="eastAsia" w:ascii="仿宋_GB2312" w:hAnsi="宋体"/>
          <w:lang w:val="zh-CN"/>
        </w:rPr>
        <w:t>。</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adjustRightInd w:val="0"/>
        <w:snapToGrid w:val="0"/>
        <w:spacing w:line="580" w:lineRule="exact"/>
        <w:ind w:firstLine="720"/>
        <w:rPr>
          <w:rFonts w:ascii="仿宋_GB2312" w:hAnsi="宋体"/>
          <w:lang w:val="zh-CN"/>
        </w:rPr>
      </w:pPr>
      <w:r>
        <w:rPr>
          <w:rFonts w:hint="eastAsia" w:ascii="仿宋_GB2312" w:hAnsi="宋体"/>
          <w:lang w:val="zh-CN"/>
        </w:rPr>
        <w:t>实施单位财务管理制度健全，严格执行</w:t>
      </w:r>
      <w:bookmarkStart w:id="0" w:name="_GoBack"/>
      <w:bookmarkEnd w:id="0"/>
      <w:r>
        <w:rPr>
          <w:rFonts w:hint="eastAsia" w:ascii="仿宋_GB2312" w:hAnsi="宋体"/>
          <w:lang w:val="zh-CN"/>
        </w:rPr>
        <w:t>财务管理制度，账务处理及时，会计核算符合规范。</w:t>
      </w:r>
    </w:p>
    <w:p>
      <w:pPr>
        <w:adjustRightInd w:val="0"/>
        <w:snapToGrid w:val="0"/>
        <w:spacing w:line="580" w:lineRule="exact"/>
        <w:ind w:firstLine="720"/>
        <w:rPr>
          <w:rFonts w:ascii="黑体" w:hAnsi="宋体" w:eastAsia="黑体"/>
        </w:rPr>
      </w:pPr>
      <w:r>
        <w:rPr>
          <w:rFonts w:hint="eastAsia" w:ascii="黑体" w:hAnsi="宋体" w:eastAsia="黑体"/>
        </w:rPr>
        <w:t>三、项目实施及管理情况</w:t>
      </w:r>
    </w:p>
    <w:p>
      <w:pPr>
        <w:adjustRightInd w:val="0"/>
        <w:snapToGrid w:val="0"/>
        <w:spacing w:line="580" w:lineRule="exact"/>
        <w:ind w:firstLine="720"/>
        <w:rPr>
          <w:rFonts w:ascii="仿宋_GB2312" w:hAnsi="宋体"/>
          <w:lang w:val="zh-CN"/>
        </w:rPr>
      </w:pPr>
      <w:r>
        <w:rPr>
          <w:rFonts w:hint="eastAsia" w:ascii="仿宋_GB2312" w:hAnsi="宋体"/>
          <w:lang w:val="zh-CN"/>
        </w:rPr>
        <w:t>结合项目组织实施管理办法，重点围绕以下内容进行分析评价，并对自评中发现的问题分析说明。</w:t>
      </w:r>
    </w:p>
    <w:p>
      <w:pPr>
        <w:numPr>
          <w:ilvl w:val="0"/>
          <w:numId w:val="1"/>
        </w:numPr>
        <w:adjustRightInd w:val="0"/>
        <w:snapToGrid w:val="0"/>
        <w:spacing w:line="580" w:lineRule="exact"/>
        <w:ind w:firstLine="643" w:firstLineChars="200"/>
        <w:rPr>
          <w:rFonts w:hint="eastAsia" w:ascii="仿宋_GB2312" w:hAnsi="宋体"/>
          <w:lang w:val="zh-CN"/>
        </w:rPr>
      </w:pPr>
      <w:r>
        <w:rPr>
          <w:rFonts w:hint="eastAsia" w:ascii="楷体_GB2312" w:hAnsi="宋体" w:eastAsia="楷体_GB2312"/>
          <w:b/>
          <w:lang w:val="zh-CN"/>
        </w:rPr>
        <w:t>项目组织架构及实施流程。</w:t>
      </w:r>
      <w:r>
        <w:rPr>
          <w:rFonts w:hint="eastAsia" w:ascii="仿宋_GB2312" w:hAnsi="宋体"/>
          <w:lang w:val="zh-CN"/>
        </w:rPr>
        <w:t>绵竹市农业农村局汇总各项目镇村实际产生的项目前期费用，统一向市政府申请项目前期工作经费。</w:t>
      </w:r>
    </w:p>
    <w:p>
      <w:pPr>
        <w:adjustRightInd w:val="0"/>
        <w:snapToGrid w:val="0"/>
        <w:spacing w:line="580" w:lineRule="exact"/>
        <w:ind w:firstLine="720"/>
        <w:rPr>
          <w:rFonts w:ascii="仿宋_GB2312" w:hAnsi="宋体"/>
          <w:lang w:val="zh-CN"/>
        </w:rPr>
      </w:pPr>
      <w:r>
        <w:rPr>
          <w:rFonts w:hint="eastAsia" w:ascii="楷体_GB2312" w:hAnsi="宋体" w:eastAsia="楷体_GB2312"/>
          <w:b/>
          <w:lang w:val="zh-CN"/>
        </w:rPr>
        <w:t>（二）项目管理情况。</w:t>
      </w:r>
      <w:r>
        <w:rPr>
          <w:rFonts w:hint="eastAsia" w:ascii="仿宋_GB2312" w:hAnsi="宋体"/>
          <w:lang w:val="zh-CN"/>
        </w:rPr>
        <w:t>项目资金由绵竹市农业农村局根据各项目镇村签订的合同内容进行拨付。</w:t>
      </w:r>
    </w:p>
    <w:p>
      <w:pPr>
        <w:adjustRightInd w:val="0"/>
        <w:snapToGrid w:val="0"/>
        <w:spacing w:line="580" w:lineRule="exact"/>
        <w:ind w:firstLine="720"/>
        <w:rPr>
          <w:rFonts w:hint="eastAsia" w:ascii="仿宋_GB2312" w:hAnsi="宋体"/>
          <w:lang w:val="zh-CN"/>
        </w:rPr>
      </w:pPr>
      <w:r>
        <w:rPr>
          <w:rFonts w:hint="eastAsia" w:ascii="楷体_GB2312" w:hAnsi="宋体" w:eastAsia="楷体_GB2312"/>
          <w:b/>
          <w:lang w:val="zh-CN"/>
        </w:rPr>
        <w:t>（三）项目监管情况。</w:t>
      </w:r>
      <w:r>
        <w:rPr>
          <w:rFonts w:hint="eastAsia" w:ascii="仿宋_GB2312" w:hAnsi="宋体"/>
          <w:lang w:val="zh-CN"/>
        </w:rPr>
        <w:t>加强实地调研工作，不定期到相关镇村了解乡村振兴转移支付资金项目推进情况。</w:t>
      </w:r>
    </w:p>
    <w:p>
      <w:pPr>
        <w:adjustRightInd w:val="0"/>
        <w:snapToGrid w:val="0"/>
        <w:spacing w:line="580" w:lineRule="exact"/>
        <w:ind w:firstLine="720"/>
        <w:rPr>
          <w:rFonts w:ascii="仿宋_GB2312" w:hAnsi="宋体"/>
          <w:lang w:val="zh-CN"/>
        </w:rPr>
      </w:pPr>
      <w:r>
        <w:rPr>
          <w:rFonts w:hint="eastAsia" w:ascii="黑体" w:hAnsi="宋体" w:eastAsia="黑体"/>
        </w:rPr>
        <w:t>四、项目绩效情况</w:t>
      </w:r>
      <w:r>
        <w:rPr>
          <w:rFonts w:ascii="仿宋_GB2312" w:hAnsi="宋体"/>
          <w:lang w:val="zh-CN"/>
        </w:rPr>
        <w:tab/>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580" w:lineRule="exact"/>
        <w:ind w:firstLine="720"/>
        <w:rPr>
          <w:rFonts w:hint="eastAsia" w:ascii="仿宋_GB2312" w:hAnsi="宋体"/>
          <w:lang w:val="zh-CN"/>
        </w:rPr>
      </w:pPr>
      <w:r>
        <w:rPr>
          <w:rFonts w:hint="eastAsia" w:ascii="仿宋_GB2312" w:hAnsi="宋体"/>
          <w:highlight w:val="none"/>
          <w:lang w:val="zh-CN"/>
        </w:rPr>
        <w:t>九龙镇、富新镇文永村、广济镇云盖村等已完成项目前期工作。</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adjustRightInd w:val="0"/>
        <w:snapToGrid w:val="0"/>
        <w:spacing w:line="580" w:lineRule="exact"/>
        <w:ind w:firstLine="720"/>
        <w:rPr>
          <w:rFonts w:hint="eastAsia" w:ascii="仿宋_GB2312" w:hAnsi="宋体"/>
          <w:lang w:val="zh-CN"/>
        </w:rPr>
      </w:pPr>
      <w:r>
        <w:rPr>
          <w:rFonts w:hint="eastAsia" w:ascii="仿宋_GB2312" w:hAnsi="仿宋_GB2312" w:cs="仿宋_GB2312"/>
          <w:lang w:eastAsia="zh-CN"/>
        </w:rPr>
        <w:t>顺利实施乡村振兴转移支付资金项目，充分发挥奖补资金效益。</w:t>
      </w:r>
    </w:p>
    <w:p>
      <w:pPr>
        <w:adjustRightInd w:val="0"/>
        <w:snapToGrid w:val="0"/>
        <w:spacing w:line="580" w:lineRule="exact"/>
        <w:ind w:firstLine="720"/>
        <w:rPr>
          <w:rFonts w:ascii="黑体" w:hAnsi="宋体" w:eastAsia="黑体"/>
        </w:rPr>
      </w:pPr>
      <w:r>
        <w:rPr>
          <w:rFonts w:hint="eastAsia" w:ascii="黑体" w:hAnsi="宋体" w:eastAsia="黑体"/>
        </w:rPr>
        <w:t>五、评价结论及建议</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（一）评价结论。</w:t>
      </w:r>
    </w:p>
    <w:p>
      <w:pPr>
        <w:adjustRightInd w:val="0"/>
        <w:snapToGrid w:val="0"/>
        <w:spacing w:line="580" w:lineRule="exact"/>
        <w:ind w:firstLine="720"/>
        <w:rPr>
          <w:rFonts w:hint="eastAsia"/>
        </w:rPr>
      </w:pPr>
      <w:r>
        <w:rPr>
          <w:rFonts w:hint="eastAsia"/>
        </w:rPr>
        <w:t>建设项目严格</w:t>
      </w:r>
      <w:r>
        <w:rPr>
          <w:rFonts w:hint="eastAsia"/>
          <w:lang w:val="zh-CN"/>
        </w:rPr>
        <w:t>按照项目建设与资金管理的办法和规定进行管理。</w:t>
      </w:r>
      <w:r>
        <w:rPr>
          <w:rFonts w:hint="eastAsia"/>
        </w:rPr>
        <w:t>项目实施单位财务管理制度健全，严格执行财务管理制度，账务处理及时，会计核算规范。</w:t>
      </w:r>
    </w:p>
    <w:p>
      <w:pPr>
        <w:adjustRightInd w:val="0"/>
        <w:snapToGrid w:val="0"/>
        <w:spacing w:line="580" w:lineRule="exact"/>
        <w:ind w:firstLine="720"/>
        <w:rPr>
          <w:rFonts w:ascii="楷体_GB2312" w:hAnsi="宋体" w:eastAsia="楷体_GB2312"/>
          <w:b/>
          <w:lang w:val="zh-CN"/>
        </w:rPr>
      </w:pPr>
      <w:r>
        <w:rPr>
          <w:rFonts w:hint="eastAsia" w:ascii="楷体_GB2312" w:hAnsi="宋体" w:eastAsia="楷体_GB2312"/>
          <w:b/>
          <w:lang w:val="zh-CN"/>
        </w:rPr>
        <w:t>（二）存在的问题。</w:t>
      </w:r>
    </w:p>
    <w:p>
      <w:pPr>
        <w:adjustRightInd w:val="0"/>
        <w:snapToGrid w:val="0"/>
        <w:spacing w:line="580" w:lineRule="exact"/>
        <w:ind w:firstLine="720"/>
        <w:rPr>
          <w:rFonts w:hint="default"/>
          <w:lang w:val="en-US" w:eastAsia="zh-CN"/>
        </w:rPr>
      </w:pPr>
      <w:r>
        <w:rPr>
          <w:rFonts w:hint="eastAsia"/>
          <w:lang w:val="en-US" w:eastAsia="zh-CN"/>
        </w:rPr>
        <w:t>相关镇（街道）在项目资料收集中存在不足，部门项目资料缺失。</w:t>
      </w:r>
    </w:p>
    <w:p>
      <w:pPr>
        <w:adjustRightInd w:val="0"/>
        <w:snapToGrid w:val="0"/>
        <w:spacing w:line="580" w:lineRule="exact"/>
        <w:ind w:firstLine="720"/>
        <w:rPr>
          <w:rFonts w:hint="eastAsia" w:ascii="楷体_GB2312" w:hAnsi="宋体" w:eastAsia="楷体_GB2312"/>
          <w:b/>
          <w:lang w:val="zh-CN"/>
        </w:rPr>
      </w:pPr>
      <w:r>
        <w:rPr>
          <w:rFonts w:hint="eastAsia" w:ascii="楷体_GB2312" w:hAnsi="宋体" w:eastAsia="楷体_GB2312"/>
          <w:b/>
          <w:lang w:val="zh-CN"/>
        </w:rPr>
        <w:t>（三）相关建议。</w:t>
      </w:r>
    </w:p>
    <w:p>
      <w:pPr>
        <w:adjustRightInd w:val="0"/>
        <w:snapToGrid w:val="0"/>
        <w:spacing w:line="580" w:lineRule="exact"/>
        <w:ind w:firstLine="720"/>
        <w:rPr>
          <w:rFonts w:hint="default"/>
          <w:lang w:val="en-US" w:eastAsia="zh-CN"/>
        </w:rPr>
      </w:pPr>
      <w:r>
        <w:rPr>
          <w:rFonts w:hint="eastAsia"/>
          <w:lang w:eastAsia="zh-CN"/>
        </w:rPr>
        <w:t>建议相关镇（街道）在项目实施过程中注意项目资料收集，并完善相关项目资料。</w:t>
      </w:r>
    </w:p>
    <w:p>
      <w:pPr>
        <w:adjustRightInd w:val="0"/>
        <w:snapToGrid w:val="0"/>
        <w:spacing w:line="580" w:lineRule="exact"/>
        <w:ind w:firstLine="720"/>
        <w:rPr>
          <w:rFonts w:hint="eastAsia" w:ascii="仿宋_GB2312" w:hAnsi="仿宋_GB2312" w:cs="仿宋_GB2312"/>
        </w:rPr>
      </w:pPr>
    </w:p>
    <w:p>
      <w:pPr>
        <w:adjustRightInd w:val="0"/>
        <w:snapToGrid w:val="0"/>
        <w:spacing w:line="580" w:lineRule="exact"/>
        <w:ind w:firstLine="720"/>
        <w:rPr>
          <w:rFonts w:ascii="楷体_GB2312" w:hAnsi="宋体" w:eastAsia="楷体_GB2312"/>
          <w:b/>
          <w:lang w:val="zh-CN"/>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仿宋_GB2312"/>
    <w:panose1 w:val="02010601030101010101"/>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A40330"/>
    <w:multiLevelType w:val="singleLevel"/>
    <w:tmpl w:val="44A4033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FjNjdkNDM3Y2IyZTFjNzU4NDhjOTU4OWFlYmFhZWYifQ=="/>
  </w:docVars>
  <w:rsids>
    <w:rsidRoot w:val="3D2619AA"/>
    <w:rsid w:val="0C7B3A95"/>
    <w:rsid w:val="0F7D6D2A"/>
    <w:rsid w:val="1FBF37D4"/>
    <w:rsid w:val="20A72920"/>
    <w:rsid w:val="38E21FB0"/>
    <w:rsid w:val="3D2619AA"/>
    <w:rsid w:val="6D4B57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四号正文"/>
    <w:basedOn w:val="1"/>
    <w:qFormat/>
    <w:uiPriority w:val="99"/>
    <w:pPr>
      <w:spacing w:line="360" w:lineRule="auto"/>
    </w:pPr>
    <w:rPr>
      <w:rFonts w:ascii="??" w:hAnsi="??" w:eastAsia="宋体"/>
      <w:color w:val="000000"/>
      <w:kern w:val="0"/>
      <w:sz w:val="28"/>
      <w:szCs w:val="21"/>
    </w:rPr>
  </w:style>
  <w:style w:type="paragraph" w:customStyle="1" w:styleId="5">
    <w:name w:val="正文2"/>
    <w:basedOn w:val="1"/>
    <w:next w:val="1"/>
    <w:qFormat/>
    <w:uiPriority w:val="0"/>
    <w:rPr>
      <w:rFonts w:eastAsia="宋体"/>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971</Words>
  <Characters>985</Characters>
  <Lines>0</Lines>
  <Paragraphs>0</Paragraphs>
  <TotalTime>11</TotalTime>
  <ScaleCrop>false</ScaleCrop>
  <LinksUpToDate>false</LinksUpToDate>
  <CharactersWithSpaces>986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2022-05-19T00:52:00Z</dcterms:created>
  <dc:creator>丶放开那女孩</dc:creator>
  <cp:lastModifiedBy>Administrator</cp:lastModifiedBy>
  <cp:lastPrinted>2023-04-21T07:28:00Z</cp:lastPrinted>
  <dcterms:modified xsi:type="dcterms:W3CDTF">2023-04-24T01:29:04Z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FA6B572D88B048CB96F49CFC4738BB37</vt:lpwstr>
  </property>
</Properties>
</file>