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pacing w:line="580" w:lineRule="exact"/>
        <w:ind w:firstLine="883"/>
        <w:jc w:val="center"/>
        <w:rPr>
          <w:rFonts w:ascii="仿宋_GB2312" w:hAnsi="宋体" w:eastAsia="仿宋_GB2312"/>
          <w:b/>
          <w:bCs/>
          <w:color w:val="auto"/>
          <w:kern w:val="2"/>
          <w:sz w:val="32"/>
          <w:szCs w:val="32"/>
        </w:rPr>
      </w:pPr>
      <w:bookmarkStart w:id="0" w:name="_GoBack"/>
      <w:r>
        <w:rPr>
          <w:rFonts w:hint="eastAsia" w:ascii="方正小标宋简体" w:hAnsi="宋体" w:eastAsia="方正小标宋简体"/>
          <w:b/>
          <w:bCs/>
          <w:sz w:val="44"/>
          <w:szCs w:val="44"/>
        </w:rPr>
        <w:t>项目支出绩效自评报告</w:t>
      </w:r>
    </w:p>
    <w:bookmarkEnd w:id="0"/>
    <w:p>
      <w:pPr>
        <w:spacing w:line="580" w:lineRule="exact"/>
        <w:jc w:val="center"/>
        <w:rPr>
          <w:rFonts w:ascii="仿宋_GB2312" w:hAnsi="宋体"/>
        </w:rPr>
      </w:pPr>
      <w:r>
        <w:rPr>
          <w:rFonts w:hint="eastAsia" w:ascii="仿宋_GB2312" w:hAnsi="宋体"/>
        </w:rPr>
        <w:t>（动物检疫票证、工具及检疫合格证电子出证网络运行项目）</w:t>
      </w:r>
    </w:p>
    <w:p>
      <w:pPr>
        <w:pStyle w:val="9"/>
        <w:spacing w:line="580" w:lineRule="exact"/>
        <w:ind w:firstLine="640"/>
        <w:jc w:val="center"/>
        <w:rPr>
          <w:rFonts w:hint="eastAsia" w:ascii="宋体"/>
          <w:color w:val="auto"/>
          <w:kern w:val="2"/>
          <w:sz w:val="32"/>
          <w:szCs w:val="32"/>
        </w:rPr>
      </w:pPr>
    </w:p>
    <w:p>
      <w:pPr>
        <w:adjustRightInd w:val="0"/>
        <w:snapToGrid w:val="0"/>
        <w:spacing w:line="58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580" w:lineRule="exact"/>
        <w:ind w:firstLine="720"/>
        <w:rPr>
          <w:rFonts w:ascii="仿宋_GB2312" w:hAnsi="宋体"/>
          <w:lang w:val="zh-CN"/>
        </w:rPr>
      </w:pPr>
      <w:r>
        <w:rPr>
          <w:rFonts w:hint="eastAsia" w:ascii="仿宋_GB2312" w:hAnsi="宋体"/>
        </w:rPr>
        <w:t xml:space="preserve">1. </w:t>
      </w:r>
      <w:r>
        <w:rPr>
          <w:rFonts w:hint="eastAsia" w:ascii="仿宋_GB2312" w:hAnsi="宋体"/>
          <w:lang w:val="zh-CN"/>
        </w:rPr>
        <w:t>为保障我市动物卫生监督工作正常开展，根据我市实际情况，购买《动物检疫合格证明》等动物检疫标志，保障全市牲畜或牲畜产品正常流通；其他动物防疫方面的支出。</w:t>
      </w:r>
    </w:p>
    <w:p>
      <w:pPr>
        <w:adjustRightInd w:val="0"/>
        <w:snapToGrid w:val="0"/>
        <w:spacing w:line="580" w:lineRule="exact"/>
        <w:ind w:firstLine="720"/>
        <w:rPr>
          <w:rFonts w:hint="eastAsia" w:ascii="仿宋_GB2312" w:hAnsi="宋体"/>
          <w:lang w:val="zh-CN"/>
        </w:rPr>
      </w:pPr>
      <w:r>
        <w:rPr>
          <w:rFonts w:ascii="仿宋_GB2312" w:hAnsi="宋体"/>
          <w:lang w:val="zh-CN"/>
        </w:rPr>
        <w:t>2</w:t>
      </w:r>
      <w:r>
        <w:rPr>
          <w:rFonts w:hint="eastAsia" w:ascii="仿宋_GB2312" w:hAnsi="宋体"/>
          <w:lang w:val="zh-CN"/>
        </w:rPr>
        <w:t>．</w:t>
      </w:r>
      <w:r>
        <w:rPr>
          <w:rFonts w:hint="eastAsia" w:ascii="仿宋_GB2312" w:hAnsi="宋体"/>
        </w:rPr>
        <w:t>动物检疫票证、工具及检疫合格证电子出证网络运行项目经费纳入本级财政年初预算</w:t>
      </w:r>
      <w:r>
        <w:rPr>
          <w:rFonts w:hint="eastAsia" w:ascii="仿宋_GB2312" w:hAnsi="宋体"/>
          <w:lang w:val="zh-CN"/>
        </w:rPr>
        <w:t>。</w:t>
      </w:r>
    </w:p>
    <w:p>
      <w:pPr>
        <w:adjustRightInd w:val="0"/>
        <w:snapToGrid w:val="0"/>
        <w:spacing w:line="580" w:lineRule="exact"/>
        <w:ind w:firstLine="720"/>
        <w:rPr>
          <w:rFonts w:hint="eastAsia" w:ascii="仿宋_GB2312" w:hAnsi="宋体"/>
          <w:lang w:val="zh-CN"/>
        </w:rPr>
      </w:pPr>
      <w:r>
        <w:rPr>
          <w:rFonts w:hint="eastAsia" w:ascii="仿宋_GB2312" w:hAnsi="宋体"/>
          <w:lang w:val="zh-CN"/>
        </w:rPr>
        <w:t>3</w:t>
      </w:r>
      <w:r>
        <w:rPr>
          <w:rFonts w:hint="eastAsia" w:ascii="仿宋_GB2312" w:hAnsi="宋体"/>
          <w:lang w:val="zh-CN"/>
        </w:rPr>
        <w:t>．</w:t>
      </w:r>
      <w:r>
        <w:rPr>
          <w:rFonts w:hint="eastAsia" w:ascii="仿宋_GB2312" w:hAnsi="宋体"/>
        </w:rPr>
        <w:t>成立以局长负总责，分管副局长具体负责，财务股负责对财务状况进行专项管理，</w:t>
      </w:r>
      <w:r>
        <w:rPr>
          <w:rFonts w:hint="eastAsia" w:ascii="仿宋_GB2312" w:hAnsi="宋体"/>
          <w:lang w:val="zh-CN"/>
        </w:rPr>
        <w:t>项目严格执行财务管理制度、财务处理及时、会计核算规范。</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（二）项目绩效目标。</w:t>
      </w:r>
    </w:p>
    <w:p>
      <w:pPr>
        <w:adjustRightInd w:val="0"/>
        <w:snapToGrid w:val="0"/>
        <w:spacing w:line="580" w:lineRule="exact"/>
        <w:ind w:firstLine="720"/>
        <w:rPr>
          <w:rFonts w:ascii="仿宋_GB2312" w:hAnsi="宋体"/>
          <w:lang w:val="zh-CN"/>
        </w:rPr>
      </w:pPr>
      <w:r>
        <w:rPr>
          <w:rFonts w:ascii="仿宋_GB2312" w:hAnsi="宋体"/>
          <w:lang w:val="zh-CN"/>
        </w:rPr>
        <w:t>1</w:t>
      </w:r>
      <w:r>
        <w:rPr>
          <w:rFonts w:hint="eastAsia" w:ascii="仿宋_GB2312" w:hAnsi="宋体"/>
          <w:lang w:val="zh-CN"/>
        </w:rPr>
        <w:t>．购买《动物检疫合格证明》等动物检疫标志，保障全市牲畜或牲畜产品正常流通；其他动物防疫方面的支出。</w:t>
      </w:r>
    </w:p>
    <w:p>
      <w:pPr>
        <w:adjustRightInd w:val="0"/>
        <w:snapToGrid w:val="0"/>
        <w:spacing w:line="580" w:lineRule="exact"/>
        <w:ind w:firstLine="720"/>
        <w:rPr>
          <w:rFonts w:ascii="仿宋_GB2312" w:hAnsi="宋体"/>
        </w:rPr>
      </w:pPr>
      <w:r>
        <w:rPr>
          <w:rFonts w:ascii="仿宋_GB2312" w:hAnsi="宋体"/>
          <w:lang w:val="zh-CN"/>
        </w:rPr>
        <w:t>2</w:t>
      </w:r>
      <w:r>
        <w:rPr>
          <w:rFonts w:hint="eastAsia" w:ascii="仿宋_GB2312" w:hAnsi="宋体"/>
          <w:lang w:val="zh-CN"/>
        </w:rPr>
        <w:t>．采购</w:t>
      </w:r>
      <w:r>
        <w:rPr>
          <w:rFonts w:hint="eastAsia" w:ascii="仿宋_GB2312" w:hAnsi="宋体"/>
        </w:rPr>
        <w:t>2400本动物检疫合格证明（产品B）；采购动物产品检疫合格标志（大）10万枚；动物产品检疫合格标志（小）8万枚；印刷生猪屠宰厂（场）日常监督检查记录表1200本；印刷畜禽养殖档案（一）、畜禽养殖档案（二）1200本；印刷动物卫生监督层级检查表（屠宰检疫环节）800本；印刷动物卫生监督层级检查表（产地检疫环节）700本；印刷动物卫生监督层级检查表（屠宰检疫环节）1000本；支出其他费用。</w:t>
      </w:r>
    </w:p>
    <w:p>
      <w:pPr>
        <w:adjustRightInd w:val="0"/>
        <w:snapToGrid w:val="0"/>
        <w:spacing w:line="580" w:lineRule="exact"/>
        <w:ind w:firstLine="720"/>
        <w:rPr>
          <w:rFonts w:ascii="仿宋_GB2312" w:hAnsi="宋体"/>
          <w:lang w:val="zh-CN"/>
        </w:rPr>
      </w:pPr>
      <w:r>
        <w:rPr>
          <w:rFonts w:ascii="仿宋_GB2312" w:hAnsi="宋体"/>
          <w:lang w:val="zh-CN"/>
        </w:rPr>
        <w:t>3</w:t>
      </w:r>
      <w:r>
        <w:rPr>
          <w:rFonts w:hint="eastAsia" w:ascii="仿宋_GB2312" w:hAnsi="宋体"/>
          <w:lang w:val="zh-CN"/>
        </w:rPr>
        <w:t>．申报内容与实际相符，申报目标合理可行。</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（三）项目自评步骤及方法。</w:t>
      </w:r>
    </w:p>
    <w:p>
      <w:pPr>
        <w:adjustRightInd w:val="0"/>
        <w:snapToGrid w:val="0"/>
        <w:spacing w:line="580" w:lineRule="exact"/>
        <w:ind w:firstLine="720"/>
        <w:rPr>
          <w:rFonts w:ascii="仿宋_GB2312" w:hAnsi="宋体"/>
          <w:color w:val="0C0C0C" w:themeColor="text1" w:themeTint="F2"/>
          <w:lang w:val="zh-CN"/>
        </w:rPr>
      </w:pPr>
      <w:r>
        <w:rPr>
          <w:rFonts w:hint="eastAsia" w:ascii="仿宋_GB2312" w:hAnsi="宋体"/>
          <w:color w:val="0C0C0C" w:themeColor="text1" w:themeTint="F2"/>
        </w:rPr>
        <w:t>严格按照竹财监财监〔2023〕67号（关于开展202</w:t>
      </w:r>
      <w:r>
        <w:rPr>
          <w:rFonts w:hint="eastAsia" w:ascii="仿宋_GB2312" w:hAnsi="宋体"/>
          <w:color w:val="0C0C0C" w:themeColor="text1" w:themeTint="F2"/>
          <w:lang w:val="en-US" w:eastAsia="zh-CN"/>
        </w:rPr>
        <w:t>3</w:t>
      </w:r>
      <w:r>
        <w:rPr>
          <w:rFonts w:hint="eastAsia" w:ascii="仿宋_GB2312" w:hAnsi="宋体"/>
          <w:color w:val="0C0C0C" w:themeColor="text1" w:themeTint="F2"/>
        </w:rPr>
        <w:t>年</w:t>
      </w:r>
      <w:r>
        <w:rPr>
          <w:rFonts w:hint="eastAsia" w:ascii="仿宋_GB2312" w:hAnsi="宋体"/>
          <w:color w:val="0C0C0C" w:themeColor="text1" w:themeTint="F2"/>
          <w:lang w:val="zh-CN"/>
        </w:rPr>
        <w:t>财政支出绩效评价工作的通知</w:t>
      </w:r>
      <w:r>
        <w:rPr>
          <w:rFonts w:hint="eastAsia" w:ascii="仿宋_GB2312" w:hAnsi="宋体"/>
          <w:color w:val="0C0C0C" w:themeColor="text1" w:themeTint="F2"/>
        </w:rPr>
        <w:t>）的意见执行</w:t>
      </w:r>
      <w:r>
        <w:rPr>
          <w:rFonts w:hint="eastAsia" w:ascii="仿宋_GB2312" w:hAnsi="宋体"/>
          <w:color w:val="0C0C0C" w:themeColor="text1" w:themeTint="F2"/>
          <w:lang w:val="zh-CN"/>
        </w:rPr>
        <w:t>。</w:t>
      </w:r>
    </w:p>
    <w:p>
      <w:pPr>
        <w:adjustRightInd w:val="0"/>
        <w:snapToGrid w:val="0"/>
        <w:spacing w:line="580" w:lineRule="exact"/>
        <w:ind w:firstLine="720"/>
        <w:rPr>
          <w:rFonts w:ascii="黑体" w:hAnsi="宋体" w:eastAsia="黑体"/>
        </w:rPr>
      </w:pPr>
      <w:r>
        <w:rPr>
          <w:rFonts w:hint="eastAsia" w:ascii="黑体" w:hAnsi="宋体" w:eastAsia="黑体"/>
        </w:rPr>
        <w:t>二、项目资金申报及使用情况</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（一）项目资金申报及批复情况。</w:t>
      </w:r>
    </w:p>
    <w:p>
      <w:pPr>
        <w:adjustRightInd w:val="0"/>
        <w:snapToGrid w:val="0"/>
        <w:spacing w:line="580" w:lineRule="exact"/>
        <w:ind w:firstLine="720"/>
        <w:rPr>
          <w:rFonts w:ascii="仿宋_GB2312" w:hAnsi="宋体"/>
          <w:lang w:val="zh-CN"/>
        </w:rPr>
      </w:pPr>
      <w:r>
        <w:rPr>
          <w:rFonts w:hint="eastAsia" w:ascii="仿宋_GB2312" w:hAnsi="宋体"/>
        </w:rPr>
        <w:t>“动物检疫票证、工具及检疫合格证电子出证网络运行项目经费项目纳入财政预算</w:t>
      </w:r>
      <w:r>
        <w:rPr>
          <w:rFonts w:hint="eastAsia" w:ascii="仿宋_GB2312" w:hAnsi="宋体"/>
          <w:lang w:val="zh-CN"/>
        </w:rPr>
        <w:t>。</w:t>
      </w:r>
    </w:p>
    <w:p>
      <w:pPr>
        <w:adjustRightInd w:val="0"/>
        <w:snapToGrid w:val="0"/>
        <w:spacing w:line="580" w:lineRule="exact"/>
        <w:ind w:firstLine="720"/>
        <w:rPr>
          <w:rFonts w:ascii="仿宋_GB2312" w:hAnsi="宋体"/>
          <w:lang w:val="zh-CN"/>
        </w:rPr>
      </w:pPr>
      <w:r>
        <w:rPr>
          <w:rFonts w:hint="eastAsia" w:ascii="楷体_GB2312" w:hAnsi="宋体" w:eastAsia="楷体_GB2312"/>
          <w:b/>
          <w:lang w:val="zh-CN"/>
        </w:rPr>
        <w:t>（二）资金计划、到位及使用情况（可用表格形式反映）。</w:t>
      </w:r>
    </w:p>
    <w:p>
      <w:pPr>
        <w:adjustRightInd w:val="0"/>
        <w:snapToGrid w:val="0"/>
        <w:spacing w:line="580" w:lineRule="exact"/>
        <w:ind w:firstLine="720"/>
        <w:rPr>
          <w:rFonts w:ascii="仿宋_GB2312" w:hAnsi="宋体"/>
          <w:lang w:val="zh-CN"/>
        </w:rPr>
      </w:pPr>
      <w:r>
        <w:rPr>
          <w:rFonts w:ascii="楷体_GB2312" w:hAnsi="宋体" w:eastAsia="楷体_GB2312"/>
          <w:lang w:val="zh-CN"/>
        </w:rPr>
        <w:t>1</w:t>
      </w:r>
      <w:r>
        <w:rPr>
          <w:rFonts w:hint="eastAsia" w:ascii="楷体_GB2312" w:hAnsi="宋体" w:eastAsia="楷体_GB2312"/>
          <w:lang w:val="zh-CN"/>
        </w:rPr>
        <w:t>．资金计划：</w:t>
      </w:r>
      <w:r>
        <w:rPr>
          <w:rFonts w:hint="eastAsia" w:ascii="仿宋_GB2312" w:hAnsi="宋体"/>
          <w:lang w:val="zh-CN"/>
        </w:rPr>
        <w:t>县</w:t>
      </w:r>
      <w:r>
        <w:rPr>
          <w:rFonts w:hint="eastAsia" w:ascii="仿宋_GB2312" w:hAnsi="宋体"/>
        </w:rPr>
        <w:t>本级</w:t>
      </w:r>
      <w:r>
        <w:rPr>
          <w:rFonts w:hint="eastAsia" w:ascii="仿宋_GB2312" w:hAnsi="宋体"/>
          <w:lang w:val="zh-CN"/>
        </w:rPr>
        <w:t>财政资金</w:t>
      </w:r>
      <w:r>
        <w:rPr>
          <w:rFonts w:hint="eastAsia" w:ascii="仿宋_GB2312" w:hAnsi="宋体"/>
        </w:rPr>
        <w:t>5万元</w:t>
      </w:r>
      <w:r>
        <w:rPr>
          <w:rFonts w:hint="eastAsia" w:ascii="仿宋_GB2312" w:hAnsi="宋体"/>
          <w:lang w:val="zh-CN"/>
        </w:rPr>
        <w:t>。</w:t>
      </w:r>
    </w:p>
    <w:p>
      <w:pPr>
        <w:adjustRightInd w:val="0"/>
        <w:snapToGrid w:val="0"/>
        <w:spacing w:line="580" w:lineRule="exact"/>
        <w:ind w:firstLine="720"/>
        <w:rPr>
          <w:rFonts w:ascii="仿宋_GB2312" w:hAnsi="宋体"/>
          <w:lang w:val="zh-CN"/>
        </w:rPr>
      </w:pPr>
      <w:r>
        <w:rPr>
          <w:rFonts w:ascii="楷体_GB2312" w:hAnsi="宋体" w:eastAsia="楷体_GB2312"/>
          <w:lang w:val="zh-CN"/>
        </w:rPr>
        <w:t>2</w:t>
      </w:r>
      <w:r>
        <w:rPr>
          <w:rFonts w:hint="eastAsia" w:ascii="楷体_GB2312" w:hAnsi="宋体" w:eastAsia="楷体_GB2312"/>
          <w:lang w:val="zh-CN"/>
        </w:rPr>
        <w:t>．资金到位：</w:t>
      </w:r>
      <w:r>
        <w:rPr>
          <w:rFonts w:hint="eastAsia" w:ascii="仿宋_GB2312" w:hAnsi="宋体"/>
          <w:lang w:val="zh-CN"/>
        </w:rPr>
        <w:t>县</w:t>
      </w:r>
      <w:r>
        <w:rPr>
          <w:rFonts w:hint="eastAsia" w:ascii="仿宋_GB2312" w:hAnsi="宋体"/>
        </w:rPr>
        <w:t>本级</w:t>
      </w:r>
      <w:r>
        <w:rPr>
          <w:rFonts w:hint="eastAsia" w:ascii="仿宋_GB2312" w:hAnsi="宋体"/>
          <w:lang w:val="zh-CN"/>
        </w:rPr>
        <w:t>财政资金</w:t>
      </w:r>
      <w:r>
        <w:rPr>
          <w:rFonts w:hint="eastAsia" w:ascii="仿宋_GB2312" w:hAnsi="宋体"/>
        </w:rPr>
        <w:t>5万元。</w:t>
      </w:r>
    </w:p>
    <w:p>
      <w:pPr>
        <w:adjustRightInd w:val="0"/>
        <w:snapToGrid w:val="0"/>
        <w:spacing w:line="580" w:lineRule="exact"/>
        <w:ind w:firstLine="720"/>
        <w:rPr>
          <w:rFonts w:ascii="仿宋_GB2312" w:hAnsi="宋体"/>
          <w:lang w:val="zh-CN"/>
        </w:rPr>
      </w:pPr>
      <w:r>
        <w:rPr>
          <w:rFonts w:ascii="楷体_GB2312" w:hAnsi="宋体" w:eastAsia="楷体_GB2312"/>
          <w:lang w:val="zh-CN"/>
        </w:rPr>
        <w:t>3</w:t>
      </w:r>
      <w:r>
        <w:rPr>
          <w:rFonts w:hint="eastAsia" w:ascii="楷体_GB2312" w:hAnsi="宋体" w:eastAsia="楷体_GB2312"/>
          <w:lang w:val="zh-CN"/>
        </w:rPr>
        <w:t>．资金使用。</w:t>
      </w:r>
      <w:r>
        <w:rPr>
          <w:rFonts w:hint="eastAsia" w:ascii="仿宋_GB2312" w:hAnsi="宋体"/>
          <w:lang w:val="zh-CN"/>
        </w:rPr>
        <w:t>截止</w:t>
      </w:r>
      <w:r>
        <w:rPr>
          <w:rFonts w:hint="eastAsia" w:ascii="仿宋_GB2312" w:hAnsi="宋体"/>
        </w:rPr>
        <w:t>2022年结算时，</w:t>
      </w:r>
      <w:r>
        <w:rPr>
          <w:rFonts w:hint="eastAsia" w:ascii="仿宋_GB2312" w:hAnsi="宋体"/>
          <w:lang w:val="zh-CN"/>
        </w:rPr>
        <w:t>项目资金支出</w:t>
      </w:r>
      <w:r>
        <w:rPr>
          <w:rFonts w:hint="eastAsia" w:ascii="仿宋_GB2312" w:hAnsi="宋体"/>
        </w:rPr>
        <w:t>4.901万元</w:t>
      </w:r>
      <w:r>
        <w:rPr>
          <w:rFonts w:hint="eastAsia" w:ascii="仿宋_GB2312" w:hAnsi="宋体"/>
          <w:lang w:val="zh-CN"/>
        </w:rPr>
        <w:t>。资金支付规范、</w:t>
      </w:r>
      <w:r>
        <w:rPr>
          <w:rFonts w:hint="eastAsia" w:ascii="仿宋_GB2312" w:hAnsi="宋体"/>
        </w:rPr>
        <w:t>符合支付</w:t>
      </w:r>
      <w:r>
        <w:rPr>
          <w:rFonts w:hint="eastAsia" w:ascii="仿宋_GB2312" w:hAnsi="宋体"/>
          <w:lang w:val="zh-CN"/>
        </w:rPr>
        <w:t>范围、支付标准、</w:t>
      </w:r>
      <w:r>
        <w:rPr>
          <w:rFonts w:hint="eastAsia" w:ascii="仿宋_GB2312" w:hAnsi="宋体"/>
        </w:rPr>
        <w:t>有</w:t>
      </w:r>
      <w:r>
        <w:rPr>
          <w:rFonts w:hint="eastAsia" w:ascii="仿宋_GB2312" w:hAnsi="宋体"/>
          <w:lang w:val="zh-CN"/>
        </w:rPr>
        <w:t>依据，合规合法、与预算相符。</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（三）项目财务管理情况。</w:t>
      </w:r>
    </w:p>
    <w:p>
      <w:pPr>
        <w:adjustRightInd w:val="0"/>
        <w:snapToGrid w:val="0"/>
        <w:spacing w:line="580" w:lineRule="exact"/>
        <w:ind w:firstLine="720"/>
        <w:rPr>
          <w:rFonts w:ascii="仿宋_GB2312" w:hAnsi="宋体"/>
          <w:lang w:val="zh-CN"/>
        </w:rPr>
      </w:pPr>
      <w:r>
        <w:rPr>
          <w:rFonts w:hint="eastAsia" w:ascii="仿宋_GB2312" w:hAnsi="宋体"/>
          <w:lang w:val="zh-CN"/>
        </w:rPr>
        <w:t>严格执行财务管理制度，账务处理及时，会计核算规范。</w:t>
      </w:r>
    </w:p>
    <w:p>
      <w:pPr>
        <w:adjustRightInd w:val="0"/>
        <w:snapToGrid w:val="0"/>
        <w:spacing w:line="580" w:lineRule="exact"/>
        <w:ind w:firstLine="720"/>
        <w:rPr>
          <w:rFonts w:ascii="黑体" w:hAnsi="宋体" w:eastAsia="黑体"/>
        </w:rPr>
      </w:pPr>
      <w:r>
        <w:rPr>
          <w:rFonts w:hint="eastAsia" w:ascii="黑体" w:hAnsi="宋体" w:eastAsia="黑体"/>
        </w:rPr>
        <w:t>三、项目实施及管理情况</w:t>
      </w:r>
    </w:p>
    <w:p>
      <w:pPr>
        <w:adjustRightInd w:val="0"/>
        <w:snapToGrid w:val="0"/>
        <w:spacing w:line="580" w:lineRule="exact"/>
        <w:ind w:firstLine="720"/>
        <w:rPr>
          <w:rFonts w:ascii="仿宋_GB2312" w:hAnsi="宋体"/>
          <w:color w:val="0C0C0C" w:themeColor="text1" w:themeTint="F2"/>
          <w:lang w:val="zh-CN"/>
        </w:rPr>
      </w:pPr>
      <w:r>
        <w:rPr>
          <w:rFonts w:hint="eastAsia" w:ascii="楷体_GB2312" w:hAnsi="宋体" w:eastAsia="楷体_GB2312"/>
          <w:b/>
          <w:color w:val="0C0C0C" w:themeColor="text1" w:themeTint="F2"/>
          <w:lang w:val="zh-CN"/>
        </w:rPr>
        <w:t>（一）项目管理情况。</w:t>
      </w:r>
      <w:r>
        <w:rPr>
          <w:rFonts w:hint="eastAsia" w:ascii="仿宋_GB2312" w:hAnsi="宋体"/>
          <w:color w:val="0C0C0C" w:themeColor="text1" w:themeTint="F2"/>
          <w:lang w:val="zh-CN"/>
        </w:rPr>
        <w:t>结合项目</w:t>
      </w:r>
      <w:r>
        <w:rPr>
          <w:rFonts w:hint="eastAsia" w:ascii="仿宋_GB2312" w:hAnsi="宋体"/>
          <w:color w:val="0C0C0C" w:themeColor="text1" w:themeTint="F2"/>
        </w:rPr>
        <w:t>实际</w:t>
      </w:r>
      <w:r>
        <w:rPr>
          <w:rFonts w:hint="eastAsia" w:ascii="仿宋_GB2312" w:hAnsi="宋体"/>
          <w:color w:val="0C0C0C" w:themeColor="text1" w:themeTint="F2"/>
          <w:lang w:val="zh-CN"/>
        </w:rPr>
        <w:t>，各项目执行</w:t>
      </w:r>
      <w:r>
        <w:rPr>
          <w:rFonts w:hint="eastAsia" w:ascii="仿宋_GB2312" w:hAnsi="宋体"/>
          <w:color w:val="0C0C0C" w:themeColor="text1" w:themeTint="F2"/>
        </w:rPr>
        <w:t>严格按照</w:t>
      </w:r>
      <w:r>
        <w:rPr>
          <w:rFonts w:hint="eastAsia" w:ascii="仿宋_GB2312" w:hAnsi="宋体"/>
          <w:color w:val="0C0C0C" w:themeColor="text1" w:themeTint="F2"/>
          <w:lang w:val="zh-CN"/>
        </w:rPr>
        <w:t>相关法律法规及项目管理制度等情况，如招投标、政府采购、项目公示制等相关规定</w:t>
      </w:r>
      <w:r>
        <w:rPr>
          <w:rFonts w:hint="eastAsia" w:ascii="仿宋_GB2312" w:hAnsi="宋体"/>
          <w:color w:val="0C0C0C" w:themeColor="text1" w:themeTint="F2"/>
        </w:rPr>
        <w:t>执行</w:t>
      </w:r>
      <w:r>
        <w:rPr>
          <w:rFonts w:hint="eastAsia" w:ascii="仿宋_GB2312" w:hAnsi="宋体"/>
          <w:color w:val="0C0C0C" w:themeColor="text1" w:themeTint="F2"/>
          <w:lang w:val="zh-CN"/>
        </w:rPr>
        <w:t>。</w:t>
      </w:r>
    </w:p>
    <w:p>
      <w:pPr>
        <w:adjustRightInd w:val="0"/>
        <w:snapToGrid w:val="0"/>
        <w:spacing w:line="580" w:lineRule="exact"/>
        <w:ind w:firstLine="720"/>
        <w:rPr>
          <w:rFonts w:ascii="仿宋_GB2312" w:hAnsi="宋体"/>
          <w:color w:val="0C0C0C" w:themeColor="text1" w:themeTint="F2"/>
          <w:lang w:val="zh-CN"/>
        </w:rPr>
      </w:pPr>
      <w:r>
        <w:rPr>
          <w:rFonts w:hint="eastAsia" w:ascii="楷体_GB2312" w:hAnsi="宋体" w:eastAsia="楷体_GB2312"/>
          <w:b/>
          <w:color w:val="0C0C0C" w:themeColor="text1" w:themeTint="F2"/>
          <w:lang w:val="zh-CN"/>
        </w:rPr>
        <w:t>（</w:t>
      </w:r>
      <w:r>
        <w:rPr>
          <w:rFonts w:hint="eastAsia" w:ascii="楷体_GB2312" w:hAnsi="宋体" w:eastAsia="楷体_GB2312"/>
          <w:b/>
          <w:color w:val="0C0C0C" w:themeColor="text1" w:themeTint="F2"/>
        </w:rPr>
        <w:t>二</w:t>
      </w:r>
      <w:r>
        <w:rPr>
          <w:rFonts w:hint="eastAsia" w:ascii="楷体_GB2312" w:hAnsi="宋体" w:eastAsia="楷体_GB2312"/>
          <w:b/>
          <w:color w:val="0C0C0C" w:themeColor="text1" w:themeTint="F2"/>
          <w:lang w:val="zh-CN"/>
        </w:rPr>
        <w:t>）项目监管情况。</w:t>
      </w:r>
      <w:r>
        <w:rPr>
          <w:rFonts w:hint="eastAsia" w:ascii="仿宋_GB2312" w:hAnsi="宋体"/>
          <w:color w:val="0C0C0C" w:themeColor="text1" w:themeTint="F2"/>
          <w:lang w:val="zh-CN"/>
        </w:rPr>
        <w:t>项目主管部门</w:t>
      </w:r>
      <w:r>
        <w:rPr>
          <w:rFonts w:hint="eastAsia" w:ascii="仿宋" w:hAnsi="仿宋" w:eastAsia="仿宋" w:cs="仿宋"/>
          <w:bCs/>
          <w:color w:val="0C0C0C" w:themeColor="text1" w:themeTint="F2"/>
        </w:rPr>
        <w:t>成立以局长负总责，分管副局长具体负责，财务股</w:t>
      </w:r>
      <w:r>
        <w:rPr>
          <w:rFonts w:hint="eastAsia" w:ascii="仿宋" w:hAnsi="仿宋" w:eastAsia="仿宋" w:cs="仿宋"/>
          <w:color w:val="0C0C0C" w:themeColor="text1" w:themeTint="F2"/>
        </w:rPr>
        <w:t>负责对财务状况进行专项管理，</w:t>
      </w:r>
      <w:r>
        <w:rPr>
          <w:rFonts w:hint="eastAsia" w:ascii="仿宋_GB2312" w:hAnsi="宋体"/>
          <w:color w:val="0C0C0C" w:themeColor="text1" w:themeTint="F2"/>
          <w:lang w:val="zh-CN"/>
        </w:rPr>
        <w:t>项目严格执行财务管理制度、财务处理及时、会计核算规范。</w:t>
      </w:r>
    </w:p>
    <w:p>
      <w:pPr>
        <w:adjustRightInd w:val="0"/>
        <w:snapToGrid w:val="0"/>
        <w:spacing w:line="580" w:lineRule="exact"/>
        <w:ind w:firstLine="720"/>
        <w:rPr>
          <w:rFonts w:ascii="仿宋_GB2312" w:hAnsi="宋体"/>
          <w:lang w:val="zh-CN"/>
        </w:rPr>
      </w:pPr>
      <w:r>
        <w:rPr>
          <w:rFonts w:hint="eastAsia" w:ascii="黑体" w:hAnsi="宋体" w:eastAsia="黑体"/>
        </w:rPr>
        <w:t>四、项目绩效情况</w:t>
      </w:r>
      <w:r>
        <w:rPr>
          <w:rFonts w:ascii="仿宋_GB2312" w:hAnsi="宋体"/>
          <w:lang w:val="zh-CN"/>
        </w:rPr>
        <w:tab/>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adjustRightInd w:val="0"/>
        <w:snapToGrid w:val="0"/>
        <w:spacing w:line="580" w:lineRule="exact"/>
        <w:ind w:firstLine="720"/>
        <w:rPr>
          <w:rFonts w:ascii="仿宋_GB2312" w:hAnsi="宋体"/>
        </w:rPr>
      </w:pPr>
      <w:r>
        <w:rPr>
          <w:rFonts w:hint="eastAsia" w:ascii="仿宋_GB2312" w:hAnsi="宋体"/>
        </w:rPr>
        <w:t>数量指标：</w:t>
      </w:r>
      <w:r>
        <w:rPr>
          <w:rFonts w:hint="eastAsia" w:ascii="仿宋_GB2312" w:hAnsi="宋体"/>
          <w:lang w:val="zh-CN"/>
        </w:rPr>
        <w:t>采购</w:t>
      </w:r>
      <w:r>
        <w:rPr>
          <w:rFonts w:hint="eastAsia" w:ascii="仿宋_GB2312" w:hAnsi="宋体"/>
        </w:rPr>
        <w:t>2400本动物检疫合格证明（产品B）、支出1.176万元；采购动物产品检疫合格标志（大）10万枚；动物产品检疫合格标志（小）8万枚，共支出0.35万元；印刷生猪屠宰厂（场）日常监督检查记录表1200本；印刷畜禽养殖档案（一）、畜禽养殖档案（二）1200本；印刷动物卫生监督层级检查表（屠宰检疫环节）800本；印刷动物卫生监督层级检查表（产地检疫环节）700本；印刷动物卫生监督层级检查表（屠宰检疫环节）1000本，共支出2.945万元；动物疫病防控宣传资料费用0.43万元。</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（二）项目效益情况。</w:t>
      </w:r>
    </w:p>
    <w:p>
      <w:pPr>
        <w:adjustRightInd w:val="0"/>
        <w:snapToGrid w:val="0"/>
        <w:spacing w:line="580" w:lineRule="exact"/>
        <w:ind w:firstLine="720"/>
        <w:rPr>
          <w:rFonts w:ascii="仿宋_GB2312" w:hAnsi="宋体"/>
          <w:lang w:val="zh-CN"/>
        </w:rPr>
      </w:pPr>
      <w:r>
        <w:rPr>
          <w:rFonts w:hint="eastAsia" w:ascii="仿宋_GB2312" w:hAnsi="宋体"/>
        </w:rPr>
        <w:t>社会效益指标：全市动物卫生监督工作有序开展，保障了全市畜禽及其产品的正常流通。</w:t>
      </w:r>
    </w:p>
    <w:p>
      <w:pPr>
        <w:adjustRightInd w:val="0"/>
        <w:snapToGrid w:val="0"/>
        <w:spacing w:line="580" w:lineRule="exact"/>
        <w:ind w:firstLine="720"/>
        <w:rPr>
          <w:rFonts w:ascii="黑体" w:hAnsi="宋体" w:eastAsia="黑体"/>
        </w:rPr>
      </w:pPr>
      <w:r>
        <w:rPr>
          <w:rFonts w:hint="eastAsia" w:ascii="黑体" w:hAnsi="宋体" w:eastAsia="黑体"/>
        </w:rPr>
        <w:t>五、评价结论及建议</w:t>
      </w:r>
    </w:p>
    <w:p>
      <w:pPr>
        <w:adjustRightInd w:val="0"/>
        <w:snapToGrid w:val="0"/>
        <w:spacing w:line="580" w:lineRule="exact"/>
        <w:ind w:firstLine="643" w:firstLineChars="200"/>
        <w:rPr>
          <w:rFonts w:ascii="仿宋_GB2312" w:hAnsi="宋体"/>
          <w:lang w:val="zh-CN"/>
        </w:rPr>
      </w:pPr>
      <w:r>
        <w:rPr>
          <w:rFonts w:hint="eastAsia" w:ascii="楷体_GB2312" w:hAnsi="宋体" w:eastAsia="楷体_GB2312"/>
          <w:b/>
          <w:lang w:val="zh-CN"/>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altName w:val="仿宋_GB2312"/>
    <w:panose1 w:val="03000509000000000000"/>
    <w:charset w:val="86"/>
    <w:family w:val="script"/>
    <w:pitch w:val="default"/>
    <w:sig w:usb0="00000000" w:usb1="00000000" w:usb2="0000001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D3EFA"/>
    <w:rsid w:val="001B510D"/>
    <w:rsid w:val="00291918"/>
    <w:rsid w:val="002E7D7A"/>
    <w:rsid w:val="00427240"/>
    <w:rsid w:val="00543D64"/>
    <w:rsid w:val="00572F4E"/>
    <w:rsid w:val="005842A2"/>
    <w:rsid w:val="007C68D4"/>
    <w:rsid w:val="008F6FBC"/>
    <w:rsid w:val="008F788A"/>
    <w:rsid w:val="00A36A47"/>
    <w:rsid w:val="00AC3975"/>
    <w:rsid w:val="00B04731"/>
    <w:rsid w:val="00C76A98"/>
    <w:rsid w:val="00E4357F"/>
    <w:rsid w:val="00F251E9"/>
    <w:rsid w:val="00FD3EFA"/>
    <w:rsid w:val="00FD62E7"/>
    <w:rsid w:val="0E161952"/>
    <w:rsid w:val="0E261C92"/>
    <w:rsid w:val="0E812F49"/>
    <w:rsid w:val="13B7729E"/>
    <w:rsid w:val="4A942A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styleId="3">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paragraph" w:customStyle="1" w:styleId="9">
    <w:name w:val="四号正文"/>
    <w:basedOn w:val="1"/>
    <w:link w:val="10"/>
    <w:qFormat/>
    <w:uiPriority w:val="99"/>
    <w:pPr>
      <w:spacing w:line="360" w:lineRule="auto"/>
    </w:pPr>
    <w:rPr>
      <w:rFonts w:ascii="??" w:hAnsi="??" w:eastAsia="宋体"/>
      <w:color w:val="000000"/>
      <w:kern w:val="0"/>
      <w:sz w:val="28"/>
      <w:szCs w:val="21"/>
    </w:rPr>
  </w:style>
  <w:style w:type="character" w:customStyle="1" w:styleId="10">
    <w:name w:val="四号正文 Char"/>
    <w:link w:val="9"/>
    <w:qFormat/>
    <w:locked/>
    <w:uiPriority w:val="99"/>
    <w:rPr>
      <w:rFonts w:ascii="??" w:hAnsi="??" w:eastAsia="宋体" w:cs="Times New Roman"/>
      <w:color w:val="000000"/>
      <w:kern w:val="0"/>
      <w:sz w:val="28"/>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195</Words>
  <Characters>1114</Characters>
  <Lines>9</Lines>
  <Paragraphs>2</Paragraphs>
  <TotalTime>12</TotalTime>
  <ScaleCrop>false</ScaleCrop>
  <LinksUpToDate>false</LinksUpToDate>
  <CharactersWithSpaces>1307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2020-06-08T02:26:00Z</dcterms:created>
  <dc:creator>opi</dc:creator>
  <cp:lastModifiedBy>Administrator</cp:lastModifiedBy>
  <cp:lastPrinted>2023-04-21T01:43:18Z</cp:lastPrinted>
  <dcterms:modified xsi:type="dcterms:W3CDTF">2023-04-21T01:43:26Z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638BD108A67940F0A51CE8606D62B89A</vt:lpwstr>
  </property>
</Properties>
</file>