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7C" w:rsidRDefault="00CB666B">
      <w:pPr>
        <w:pStyle w:val="a7"/>
        <w:spacing w:line="580" w:lineRule="exact"/>
        <w:ind w:firstLine="883"/>
        <w:jc w:val="center"/>
        <w:rPr>
          <w:rFonts w:ascii="仿宋_GB2312" w:eastAsia="仿宋_GB2312" w:hAnsi="宋体"/>
          <w:color w:val="auto"/>
          <w:kern w:val="2"/>
          <w:sz w:val="32"/>
          <w:szCs w:val="32"/>
        </w:rPr>
      </w:pPr>
      <w:r w:rsidRPr="00CB666B">
        <w:rPr>
          <w:rFonts w:ascii="方正小标宋简体" w:eastAsia="方正小标宋简体" w:hAnsi="宋体" w:hint="eastAsia"/>
          <w:sz w:val="44"/>
          <w:szCs w:val="44"/>
        </w:rPr>
        <w:t>2022年绵竹市高标准农田“非耕地”占用面积补建</w:t>
      </w:r>
      <w:r w:rsidR="0010048B">
        <w:rPr>
          <w:rFonts w:ascii="方正小标宋简体" w:eastAsia="方正小标宋简体" w:hAnsi="宋体" w:hint="eastAsia"/>
          <w:sz w:val="44"/>
          <w:szCs w:val="44"/>
        </w:rPr>
        <w:t>项目支出绩效自评报告范本</w:t>
      </w:r>
    </w:p>
    <w:p w:rsidR="00AE527C" w:rsidRDefault="00AE527C">
      <w:pPr>
        <w:spacing w:line="580" w:lineRule="exact"/>
        <w:jc w:val="center"/>
        <w:rPr>
          <w:rFonts w:ascii="仿宋_GB2312" w:hAnsi="宋体"/>
        </w:rPr>
      </w:pPr>
    </w:p>
    <w:p w:rsidR="00AE527C" w:rsidRDefault="0010048B">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AE527C" w:rsidRDefault="0010048B">
      <w:pPr>
        <w:adjustRightInd w:val="0"/>
        <w:snapToGrid w:val="0"/>
        <w:spacing w:line="560" w:lineRule="exact"/>
        <w:ind w:firstLine="720"/>
        <w:rPr>
          <w:rFonts w:ascii="仿宋_GB2312" w:hAnsi="宋体"/>
          <w:lang w:val="zh-CN"/>
        </w:rPr>
      </w:pPr>
      <w:r>
        <w:rPr>
          <w:rFonts w:ascii="仿宋_GB2312" w:hAnsi="宋体"/>
          <w:lang w:val="zh-CN"/>
        </w:rPr>
        <w:t>1</w:t>
      </w:r>
      <w:r>
        <w:rPr>
          <w:rFonts w:ascii="仿宋_GB2312" w:hAnsi="宋体" w:hint="eastAsia"/>
          <w:lang w:val="zh-CN"/>
        </w:rPr>
        <w:t>.</w:t>
      </w:r>
      <w:r>
        <w:rPr>
          <w:rFonts w:ascii="仿宋_GB2312" w:hAnsi="宋体" w:hint="eastAsia"/>
        </w:rPr>
        <w:t>该项目采用村民自建方式，由绵竹市农业农村局统一管理，</w:t>
      </w:r>
      <w:r>
        <w:rPr>
          <w:rFonts w:hint="eastAsia"/>
        </w:rPr>
        <w:t>绵竹市农业农村局成立</w:t>
      </w:r>
      <w:r>
        <w:rPr>
          <w:rFonts w:hint="eastAsia"/>
        </w:rPr>
        <w:t>2022</w:t>
      </w:r>
      <w:r>
        <w:rPr>
          <w:rFonts w:hint="eastAsia"/>
        </w:rPr>
        <w:t>年绵竹市高标准农田“非耕地”占用面积补建项目领导小组，项目实施的重大决策由农田建设项目领导小组决定。领导小组下设办公室，负责项目勘测设计、项目实施方案编制、工程技术指导、项目施工监督、项目县级验收等。</w:t>
      </w:r>
    </w:p>
    <w:p w:rsidR="00AE527C" w:rsidRDefault="0010048B">
      <w:pPr>
        <w:adjustRightInd w:val="0"/>
        <w:snapToGrid w:val="0"/>
        <w:spacing w:line="560" w:lineRule="exact"/>
        <w:ind w:firstLine="720"/>
        <w:rPr>
          <w:rFonts w:ascii="仿宋_GB2312" w:hAnsi="宋体"/>
          <w:lang w:val="zh-CN"/>
        </w:rPr>
      </w:pPr>
      <w:r>
        <w:rPr>
          <w:rFonts w:ascii="仿宋_GB2312" w:hAnsi="宋体"/>
          <w:lang w:val="zh-CN"/>
        </w:rPr>
        <w:t>2</w:t>
      </w:r>
      <w:r>
        <w:rPr>
          <w:rFonts w:ascii="仿宋_GB2312" w:hAnsi="宋体" w:hint="eastAsia"/>
          <w:lang w:val="zh-CN"/>
        </w:rPr>
        <w:t>.2021年4月13日至6月11日，绵竹市审计局受上级审计部门委托对绵竹市2018年至2020年高标准农田建设管理和利用情况进行了专项审计调查，审计报告指出：绵竹市2011-2020年度高标准农田上图面积未扣除“非耕地”1.89万亩（包含已获农用地转为建设用地批文的土地0.27万亩）。比对2011-2020年度规划任务数39.98万亩，要求对“非耕地”占用面积进行整改和补建。</w:t>
      </w:r>
    </w:p>
    <w:p w:rsidR="00AE527C" w:rsidRDefault="0010048B">
      <w:pPr>
        <w:adjustRightInd w:val="0"/>
        <w:snapToGrid w:val="0"/>
        <w:spacing w:line="560" w:lineRule="exact"/>
        <w:ind w:firstLine="720"/>
        <w:rPr>
          <w:rFonts w:ascii="仿宋_GB2312" w:hAnsi="宋体"/>
          <w:lang w:val="zh-CN"/>
        </w:rPr>
      </w:pPr>
      <w:bookmarkStart w:id="0" w:name="_GoBack"/>
      <w:r>
        <w:rPr>
          <w:rFonts w:ascii="仿宋_GB2312" w:hAnsi="宋体"/>
          <w:lang w:val="zh-CN"/>
        </w:rPr>
        <w:t>3</w:t>
      </w:r>
      <w:r>
        <w:rPr>
          <w:rFonts w:ascii="仿宋_GB2312" w:hAnsi="宋体" w:hint="eastAsia"/>
          <w:lang w:val="zh-CN"/>
        </w:rPr>
        <w:t>.为了完成补建任务，绵竹市农业农村局于2022年3月17日向绵竹市人民政府呈报《绵竹市农业农村局关于绵竹市高标准农田专项审计调查问题中上图入库图斑扣除“非耕地”面积进行补建的请示》，绵竹市人民政府办公室召集相关部门进行会商，会商意见为建议绵竹市政府实施该项目，由市农业农村局先行开展项目勘察设计工作，尽快制定项目</w:t>
      </w:r>
      <w:r>
        <w:rPr>
          <w:rFonts w:ascii="仿宋_GB2312" w:hAnsi="宋体" w:hint="eastAsia"/>
          <w:lang w:val="zh-CN"/>
        </w:rPr>
        <w:lastRenderedPageBreak/>
        <w:t>具体实施方案，明确项目预算，报市政府审批同意后，由市</w:t>
      </w:r>
      <w:bookmarkEnd w:id="0"/>
      <w:r>
        <w:rPr>
          <w:rFonts w:ascii="仿宋_GB2312" w:hAnsi="宋体" w:hint="eastAsia"/>
          <w:lang w:val="zh-CN"/>
        </w:rPr>
        <w:t>财政给予资金保障；由于项目零星分散，施工难度不大，可由市农业农村局牵头，按村民自建的方式组织实施，2022年底前完成任务。</w:t>
      </w:r>
    </w:p>
    <w:p w:rsidR="00AE527C" w:rsidRDefault="0010048B">
      <w:pPr>
        <w:adjustRightInd w:val="0"/>
        <w:snapToGrid w:val="0"/>
        <w:spacing w:line="560" w:lineRule="exact"/>
        <w:ind w:firstLineChars="150" w:firstLine="480"/>
        <w:rPr>
          <w:lang w:val="zh-CN"/>
        </w:rPr>
      </w:pPr>
      <w:r>
        <w:rPr>
          <w:rFonts w:ascii="仿宋_GB2312" w:hAnsi="宋体"/>
          <w:lang w:val="zh-CN"/>
        </w:rPr>
        <w:t xml:space="preserve"> 4</w:t>
      </w:r>
      <w:r>
        <w:rPr>
          <w:rFonts w:ascii="仿宋_GB2312" w:hAnsi="宋体" w:hint="eastAsia"/>
          <w:lang w:val="zh-CN"/>
        </w:rPr>
        <w:t>．</w:t>
      </w:r>
      <w:r>
        <w:rPr>
          <w:rFonts w:ascii="仿宋_GB2312" w:hAnsi="宋体" w:hint="eastAsia"/>
        </w:rPr>
        <w:t>按照“缺啥补啥”原则，通过实地勘测，确定建设内容及资金分配。</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AE527C" w:rsidRDefault="0010048B">
      <w:pPr>
        <w:adjustRightInd w:val="0"/>
        <w:snapToGrid w:val="0"/>
        <w:spacing w:line="560" w:lineRule="exact"/>
        <w:ind w:firstLine="720"/>
        <w:rPr>
          <w:rFonts w:ascii="仿宋_GB2312" w:hAnsi="宋体"/>
          <w:lang w:val="zh-CN"/>
        </w:rPr>
      </w:pPr>
      <w:r>
        <w:rPr>
          <w:rFonts w:ascii="仿宋_GB2312" w:hAnsi="宋体"/>
          <w:lang w:val="zh-CN"/>
        </w:rPr>
        <w:t>1</w:t>
      </w:r>
      <w:r>
        <w:rPr>
          <w:rFonts w:ascii="仿宋_GB2312" w:hAnsi="宋体" w:hint="eastAsia"/>
          <w:lang w:val="zh-CN"/>
        </w:rPr>
        <w:t>．</w:t>
      </w:r>
      <w:r>
        <w:rPr>
          <w:rFonts w:hint="eastAsia"/>
        </w:rPr>
        <w:t>2022</w:t>
      </w:r>
      <w:r>
        <w:rPr>
          <w:rFonts w:hint="eastAsia"/>
        </w:rPr>
        <w:t>年绵竹市高标准农田“非耕地”占用面积补建项目涉及富新镇、广济镇、汉旺镇、剑南街道、九龙镇、麓棠镇、什地镇、孝德镇、新市镇、玉泉镇、紫岩街道，共计</w:t>
      </w:r>
      <w:r>
        <w:rPr>
          <w:rFonts w:hint="eastAsia"/>
        </w:rPr>
        <w:t>11</w:t>
      </w:r>
      <w:r>
        <w:rPr>
          <w:rFonts w:hint="eastAsia"/>
        </w:rPr>
        <w:t>个镇，</w:t>
      </w:r>
      <w:r>
        <w:rPr>
          <w:rFonts w:hint="eastAsia"/>
        </w:rPr>
        <w:t>60</w:t>
      </w:r>
      <w:r>
        <w:rPr>
          <w:rFonts w:hint="eastAsia"/>
        </w:rPr>
        <w:t>个村，涉及补建面积</w:t>
      </w:r>
      <w:r>
        <w:rPr>
          <w:rFonts w:hint="eastAsia"/>
        </w:rPr>
        <w:t>2.30</w:t>
      </w:r>
      <w:r>
        <w:rPr>
          <w:rFonts w:hint="eastAsia"/>
        </w:rPr>
        <w:t>万亩。平整土地、调整田型共</w:t>
      </w:r>
      <w:r>
        <w:rPr>
          <w:rFonts w:hint="eastAsia"/>
        </w:rPr>
        <w:t>140</w:t>
      </w:r>
      <w:r>
        <w:rPr>
          <w:rFonts w:hint="eastAsia"/>
        </w:rPr>
        <w:t>亩，项目实施区域</w:t>
      </w:r>
      <w:r>
        <w:t>计划衬砌渠道</w:t>
      </w:r>
      <w:r>
        <w:rPr>
          <w:rFonts w:hint="eastAsia"/>
        </w:rPr>
        <w:t>363</w:t>
      </w:r>
      <w:r>
        <w:t>条</w:t>
      </w:r>
      <w:r>
        <w:rPr>
          <w:rFonts w:hint="eastAsia"/>
        </w:rPr>
        <w:t>99.05km</w:t>
      </w:r>
      <w:r>
        <w:rPr>
          <w:rFonts w:hint="eastAsia"/>
        </w:rPr>
        <w:t>，建设田间道路</w:t>
      </w:r>
      <w:r>
        <w:rPr>
          <w:rFonts w:hint="eastAsia"/>
        </w:rPr>
        <w:t>24</w:t>
      </w:r>
      <w:r>
        <w:rPr>
          <w:rFonts w:hint="eastAsia"/>
        </w:rPr>
        <w:t>条，长度共计</w:t>
      </w:r>
      <w:r>
        <w:rPr>
          <w:rFonts w:hint="eastAsia"/>
        </w:rPr>
        <w:t>5.94km</w:t>
      </w:r>
      <w:r>
        <w:rPr>
          <w:rFonts w:hint="eastAsia"/>
        </w:rPr>
        <w:t>。</w:t>
      </w:r>
    </w:p>
    <w:p w:rsidR="00AE527C" w:rsidRDefault="0010048B">
      <w:pPr>
        <w:adjustRightInd w:val="0"/>
        <w:snapToGrid w:val="0"/>
        <w:spacing w:line="560" w:lineRule="exact"/>
        <w:ind w:firstLine="720"/>
        <w:rPr>
          <w:rFonts w:ascii="仿宋_GB2312" w:hAnsi="宋体"/>
          <w:lang w:val="zh-CN"/>
        </w:rPr>
      </w:pPr>
      <w:r>
        <w:rPr>
          <w:rFonts w:ascii="仿宋_GB2312" w:hAnsi="宋体"/>
          <w:lang w:val="zh-CN"/>
        </w:rPr>
        <w:t>3</w:t>
      </w:r>
      <w:r>
        <w:rPr>
          <w:rFonts w:ascii="仿宋_GB2312" w:hAnsi="宋体" w:hint="eastAsia"/>
          <w:lang w:val="zh-CN"/>
        </w:rPr>
        <w:t>．申报内容与实际相符，申报目标合理可行。</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（三）项目自评步骤及方法。</w:t>
      </w:r>
    </w:p>
    <w:p w:rsidR="00AE527C" w:rsidRDefault="0010048B">
      <w:pPr>
        <w:adjustRightInd w:val="0"/>
        <w:snapToGrid w:val="0"/>
        <w:spacing w:line="560" w:lineRule="exact"/>
        <w:ind w:firstLineChars="200" w:firstLine="640"/>
        <w:rPr>
          <w:rFonts w:ascii="仿宋" w:eastAsia="仿宋" w:hAnsi="仿宋" w:cs="仿宋"/>
        </w:rPr>
      </w:pPr>
      <w:r>
        <w:rPr>
          <w:rFonts w:ascii="仿宋" w:eastAsia="仿宋" w:hAnsi="仿宋" w:cs="仿宋" w:hint="eastAsia"/>
        </w:rPr>
        <w:t>项目绩效自评按照《高标准农田建设通则》、《高标准农田建设管理办法》和实施方案要求进行。</w:t>
      </w:r>
    </w:p>
    <w:p w:rsidR="00AE527C" w:rsidRDefault="0010048B">
      <w:pPr>
        <w:adjustRightInd w:val="0"/>
        <w:snapToGrid w:val="0"/>
        <w:spacing w:line="560" w:lineRule="exact"/>
        <w:ind w:firstLine="720"/>
        <w:rPr>
          <w:rFonts w:ascii="黑体" w:eastAsia="黑体" w:hAnsi="宋体"/>
        </w:rPr>
      </w:pPr>
      <w:r>
        <w:rPr>
          <w:rFonts w:ascii="黑体" w:eastAsia="黑体" w:hAnsi="宋体" w:hint="eastAsia"/>
        </w:rPr>
        <w:t>二、项目资金申报及使用情况</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AE527C" w:rsidRDefault="0010048B">
      <w:pPr>
        <w:adjustRightInd w:val="0"/>
        <w:snapToGrid w:val="0"/>
        <w:spacing w:line="560" w:lineRule="exact"/>
        <w:ind w:firstLine="720"/>
        <w:rPr>
          <w:rFonts w:ascii="仿宋_GB2312" w:hAnsi="宋体"/>
        </w:rPr>
      </w:pPr>
      <w:r>
        <w:rPr>
          <w:rFonts w:ascii="仿宋_GB2312" w:hAnsi="宋体" w:hint="eastAsia"/>
        </w:rPr>
        <w:t>已向市政府呈报</w:t>
      </w:r>
      <w:r>
        <w:rPr>
          <w:rFonts w:ascii="仿宋_GB2312" w:hAnsi="宋体" w:hint="eastAsia"/>
          <w:lang w:val="zh-CN"/>
        </w:rPr>
        <w:t>《绵竹市农业农村局关于绵竹市高标准农田专项审计调查问题中上图入库图斑扣除“非耕地”面积进行补建的请示》</w:t>
      </w:r>
      <w:r>
        <w:rPr>
          <w:rFonts w:ascii="仿宋_GB2312" w:hAnsi="宋体" w:hint="eastAsia"/>
        </w:rPr>
        <w:t>和《绵竹市农业农村局关于报送</w:t>
      </w:r>
      <w:r>
        <w:rPr>
          <w:rFonts w:ascii="宋体" w:eastAsia="宋体" w:hAnsi="宋体" w:cs="宋体" w:hint="eastAsia"/>
        </w:rPr>
        <w:t>&lt;</w:t>
      </w:r>
      <w:r>
        <w:rPr>
          <w:rFonts w:ascii="仿宋_GB2312" w:hAnsi="宋体" w:hint="eastAsia"/>
        </w:rPr>
        <w:t>2022年绵竹市高标准农田“非耕地”占用面积补建项目实施方案</w:t>
      </w:r>
      <w:r>
        <w:rPr>
          <w:rFonts w:ascii="宋体" w:eastAsia="宋体" w:hAnsi="宋体" w:cs="宋体" w:hint="eastAsia"/>
        </w:rPr>
        <w:t>&gt;</w:t>
      </w:r>
      <w:r>
        <w:rPr>
          <w:rFonts w:ascii="仿宋_GB2312" w:hAnsi="宋体" w:hint="eastAsia"/>
        </w:rPr>
        <w:t>的请示》，已通过市政府常务会议定。</w:t>
      </w:r>
    </w:p>
    <w:p w:rsidR="00AE527C" w:rsidRDefault="0010048B">
      <w:pPr>
        <w:adjustRightInd w:val="0"/>
        <w:snapToGrid w:val="0"/>
        <w:spacing w:line="560" w:lineRule="exact"/>
        <w:ind w:firstLine="720"/>
        <w:rPr>
          <w:rFonts w:ascii="仿宋_GB2312" w:hAnsi="宋体"/>
          <w:lang w:val="zh-CN"/>
        </w:rPr>
      </w:pPr>
      <w:r>
        <w:rPr>
          <w:rFonts w:ascii="楷体_GB2312" w:eastAsia="楷体_GB2312" w:hAnsi="宋体" w:hint="eastAsia"/>
          <w:b/>
          <w:lang w:val="zh-CN"/>
        </w:rPr>
        <w:lastRenderedPageBreak/>
        <w:t>（二）资金计划、到位及使用情况（可用表格形式反映）。</w:t>
      </w:r>
    </w:p>
    <w:p w:rsidR="00AE527C" w:rsidRDefault="0010048B">
      <w:pPr>
        <w:adjustRightInd w:val="0"/>
        <w:snapToGrid w:val="0"/>
        <w:spacing w:line="560" w:lineRule="exact"/>
        <w:ind w:firstLine="720"/>
        <w:rPr>
          <w:rFonts w:ascii="仿宋_GB2312" w:hAnsi="宋体"/>
        </w:rPr>
      </w:pPr>
      <w:r>
        <w:rPr>
          <w:rFonts w:ascii="楷体_GB2312" w:eastAsia="楷体_GB2312" w:hAnsi="宋体"/>
          <w:lang w:val="zh-CN"/>
        </w:rPr>
        <w:t>1</w:t>
      </w:r>
      <w:r>
        <w:rPr>
          <w:rFonts w:ascii="楷体_GB2312" w:eastAsia="楷体_GB2312" w:hAnsi="宋体" w:hint="eastAsia"/>
          <w:lang w:val="zh-CN"/>
        </w:rPr>
        <w:t>.资金计划。</w:t>
      </w:r>
      <w:r>
        <w:rPr>
          <w:rFonts w:ascii="楷体_GB2312" w:eastAsia="楷体_GB2312" w:hAnsi="宋体" w:hint="eastAsia"/>
        </w:rPr>
        <w:t>资金预算</w:t>
      </w:r>
      <w:r>
        <w:rPr>
          <w:rFonts w:ascii="仿宋_GB2312" w:hAnsi="宋体" w:hint="eastAsia"/>
        </w:rPr>
        <w:t>2355.15万元，均为本级财政资金。</w:t>
      </w:r>
    </w:p>
    <w:p w:rsidR="00AE527C" w:rsidRDefault="0010048B">
      <w:pPr>
        <w:adjustRightInd w:val="0"/>
        <w:snapToGrid w:val="0"/>
        <w:spacing w:line="560" w:lineRule="exact"/>
        <w:ind w:firstLine="720"/>
        <w:rPr>
          <w:rFonts w:ascii="仿宋_GB2312" w:hAnsi="宋体"/>
          <w:lang w:val="zh-CN"/>
        </w:rPr>
      </w:pPr>
      <w:r>
        <w:rPr>
          <w:rFonts w:ascii="楷体_GB2312" w:eastAsia="楷体_GB2312" w:hAnsi="宋体"/>
          <w:lang w:val="zh-CN"/>
        </w:rPr>
        <w:t>2</w:t>
      </w:r>
      <w:r>
        <w:rPr>
          <w:rFonts w:ascii="楷体_GB2312" w:eastAsia="楷体_GB2312" w:hAnsi="宋体" w:hint="eastAsia"/>
          <w:lang w:val="zh-CN"/>
        </w:rPr>
        <w:t>.资金到位。</w:t>
      </w:r>
      <w:r>
        <w:rPr>
          <w:rFonts w:ascii="仿宋_GB2312" w:hAnsi="宋体" w:hint="eastAsia"/>
        </w:rPr>
        <w:t>项目计划总投资2355.15万元，年内预计支付1673.6833万元，其中2022年农村综合改革转移支付资金537.8万元、本级财政衔接推进乡村振兴补助资金294.9万元、2022年土地出让收入安排用于农业农村支出840.9833万元，剩余项目资金据实纳入市农业农村局2023年部门预算统筹安排。</w:t>
      </w:r>
    </w:p>
    <w:p w:rsidR="00AE527C" w:rsidRDefault="0010048B">
      <w:pPr>
        <w:adjustRightInd w:val="0"/>
        <w:snapToGrid w:val="0"/>
        <w:spacing w:line="560" w:lineRule="exact"/>
        <w:ind w:firstLine="720"/>
        <w:rPr>
          <w:rFonts w:ascii="仿宋_GB2312" w:hAnsi="宋体"/>
        </w:rPr>
      </w:pPr>
      <w:r>
        <w:rPr>
          <w:rFonts w:ascii="楷体_GB2312" w:eastAsia="楷体_GB2312" w:hAnsi="宋体"/>
          <w:lang w:val="zh-CN"/>
        </w:rPr>
        <w:t>3</w:t>
      </w:r>
      <w:r>
        <w:rPr>
          <w:rFonts w:ascii="楷体_GB2312" w:eastAsia="楷体_GB2312" w:hAnsi="宋体" w:hint="eastAsia"/>
          <w:lang w:val="zh-CN"/>
        </w:rPr>
        <w:t>.资金使用。</w:t>
      </w:r>
      <w:r>
        <w:rPr>
          <w:rFonts w:ascii="仿宋_GB2312" w:hAnsi="宋体" w:hint="eastAsia"/>
          <w:lang w:val="zh-CN"/>
        </w:rPr>
        <w:t>截止评价时点该项目资金支出</w:t>
      </w:r>
      <w:r>
        <w:rPr>
          <w:rFonts w:ascii="仿宋_GB2312" w:hAnsi="宋体" w:hint="eastAsia"/>
        </w:rPr>
        <w:t>294.9万元，</w:t>
      </w:r>
      <w:r>
        <w:rPr>
          <w:rFonts w:ascii="仿宋_GB2312" w:hAnsi="宋体" w:hint="eastAsia"/>
          <w:lang w:val="zh-CN"/>
        </w:rPr>
        <w:t>资金支付范围、支付标准、支付进度、支付依据等合规合法、与预算相符。</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AE527C" w:rsidRDefault="0010048B">
      <w:pPr>
        <w:widowControl/>
        <w:spacing w:line="560" w:lineRule="exact"/>
        <w:ind w:firstLineChars="200" w:firstLine="640"/>
        <w:rPr>
          <w:rFonts w:ascii="仿宋_GB2312" w:hAnsi="宋体"/>
        </w:rPr>
      </w:pPr>
      <w:r>
        <w:rPr>
          <w:rFonts w:ascii="仿宋_GB2312" w:hAnsi="宋体" w:hint="eastAsia"/>
        </w:rPr>
        <w:t>该项目严格按照实施方案的进度安排有序推进工作，资金管理做到专款专用、合理合规，采取报帐制进行管理，按资金使用方案进行开支。财务管理制度健全，严格执行财务管理制度，账务处理及时，会计核算规范。</w:t>
      </w:r>
    </w:p>
    <w:p w:rsidR="00AE527C" w:rsidRDefault="0010048B">
      <w:pPr>
        <w:adjustRightInd w:val="0"/>
        <w:snapToGrid w:val="0"/>
        <w:spacing w:line="560" w:lineRule="exact"/>
        <w:ind w:firstLine="720"/>
        <w:rPr>
          <w:rFonts w:ascii="黑体" w:eastAsia="黑体" w:hAnsi="宋体"/>
        </w:rPr>
      </w:pPr>
      <w:r>
        <w:rPr>
          <w:rFonts w:ascii="黑体" w:eastAsia="黑体" w:hAnsi="宋体" w:hint="eastAsia"/>
        </w:rPr>
        <w:t>三、项目实施及管理情况</w:t>
      </w:r>
    </w:p>
    <w:p w:rsidR="00AE527C" w:rsidRDefault="0010048B">
      <w:pPr>
        <w:adjustRightInd w:val="0"/>
        <w:snapToGrid w:val="0"/>
        <w:spacing w:line="560" w:lineRule="exact"/>
        <w:ind w:firstLine="720"/>
        <w:rPr>
          <w:rFonts w:ascii="仿宋_GB2312" w:hAnsi="宋体"/>
          <w:lang w:val="zh-CN"/>
        </w:rPr>
      </w:pPr>
      <w:r>
        <w:rPr>
          <w:rFonts w:ascii="仿宋_GB2312" w:hAnsi="宋体" w:hint="eastAsia"/>
          <w:lang w:val="zh-CN"/>
        </w:rPr>
        <w:t>结合项目组织实施管理办法，重点围绕以下内容进行分析评价，并对自评中发现的问题分析说明。</w:t>
      </w:r>
    </w:p>
    <w:p w:rsidR="00AE527C" w:rsidRDefault="0010048B">
      <w:pPr>
        <w:numPr>
          <w:ilvl w:val="0"/>
          <w:numId w:val="1"/>
        </w:numPr>
        <w:adjustRightInd w:val="0"/>
        <w:snapToGrid w:val="0"/>
        <w:spacing w:line="560" w:lineRule="exact"/>
        <w:ind w:left="0" w:firstLine="720"/>
        <w:rPr>
          <w:rFonts w:ascii="楷体_GB2312" w:eastAsia="楷体_GB2312" w:hAnsi="宋体"/>
          <w:b/>
          <w:lang w:val="zh-CN"/>
        </w:rPr>
      </w:pPr>
      <w:r>
        <w:rPr>
          <w:rFonts w:ascii="楷体_GB2312" w:eastAsia="楷体_GB2312" w:hAnsi="宋体" w:hint="eastAsia"/>
          <w:b/>
          <w:lang w:val="zh-CN"/>
        </w:rPr>
        <w:t>项目组织架构及实施流程。</w:t>
      </w:r>
    </w:p>
    <w:p w:rsidR="00AE527C" w:rsidRDefault="0010048B">
      <w:pPr>
        <w:spacing w:line="560" w:lineRule="exact"/>
        <w:ind w:firstLine="600"/>
      </w:pPr>
      <w:r>
        <w:t>总工期：建设工期</w:t>
      </w:r>
      <w:r>
        <w:t>2</w:t>
      </w:r>
      <w:r>
        <w:t>个年度。</w:t>
      </w:r>
    </w:p>
    <w:p w:rsidR="00AE527C" w:rsidRDefault="0010048B" w:rsidP="0010048B">
      <w:pPr>
        <w:spacing w:line="560" w:lineRule="exact"/>
        <w:ind w:firstLineChars="200" w:firstLine="640"/>
      </w:pPr>
      <w:r>
        <w:t>202</w:t>
      </w:r>
      <w:r>
        <w:rPr>
          <w:rFonts w:hint="eastAsia"/>
        </w:rPr>
        <w:t>2</w:t>
      </w:r>
      <w:r>
        <w:t>年</w:t>
      </w:r>
      <w:r>
        <w:rPr>
          <w:rFonts w:hint="eastAsia"/>
        </w:rPr>
        <w:t>5</w:t>
      </w:r>
      <w:r>
        <w:t>月～</w:t>
      </w:r>
      <w:r>
        <w:t>2021</w:t>
      </w:r>
      <w:r>
        <w:t>年</w:t>
      </w:r>
      <w:r>
        <w:rPr>
          <w:rFonts w:hint="eastAsia"/>
        </w:rPr>
        <w:t>8</w:t>
      </w:r>
      <w:r>
        <w:t>月完成项目前期工作。</w:t>
      </w:r>
    </w:p>
    <w:p w:rsidR="00AE527C" w:rsidRDefault="0010048B" w:rsidP="0010048B">
      <w:pPr>
        <w:spacing w:line="560" w:lineRule="exact"/>
        <w:ind w:firstLineChars="200" w:firstLine="640"/>
      </w:pPr>
      <w:r>
        <w:t>202</w:t>
      </w:r>
      <w:r>
        <w:rPr>
          <w:rFonts w:hint="eastAsia"/>
        </w:rPr>
        <w:t>2</w:t>
      </w:r>
      <w:r>
        <w:t>年</w:t>
      </w:r>
      <w:r>
        <w:rPr>
          <w:rFonts w:hint="eastAsia"/>
        </w:rPr>
        <w:t>9</w:t>
      </w:r>
      <w:r>
        <w:t>月～</w:t>
      </w:r>
      <w:r>
        <w:t>2022</w:t>
      </w:r>
      <w:r>
        <w:t>年</w:t>
      </w:r>
      <w:r>
        <w:t>12</w:t>
      </w:r>
      <w:r>
        <w:t>月工程施工阶段。</w:t>
      </w:r>
    </w:p>
    <w:p w:rsidR="00AE527C" w:rsidRDefault="0010048B" w:rsidP="0010048B">
      <w:pPr>
        <w:pStyle w:val="a3"/>
        <w:spacing w:after="0" w:line="560" w:lineRule="exact"/>
        <w:ind w:firstLineChars="200" w:firstLine="640"/>
        <w:rPr>
          <w:lang w:val="zh-CN"/>
        </w:rPr>
      </w:pPr>
      <w:bookmarkStart w:id="1" w:name="_Hlk111961761"/>
      <w:r>
        <w:lastRenderedPageBreak/>
        <w:t>2023</w:t>
      </w:r>
      <w:r>
        <w:t>年</w:t>
      </w:r>
      <w:r>
        <w:t>1</w:t>
      </w:r>
      <w:r>
        <w:t>月～</w:t>
      </w:r>
      <w:r>
        <w:t>202</w:t>
      </w:r>
      <w:r>
        <w:rPr>
          <w:rFonts w:hint="eastAsia"/>
        </w:rPr>
        <w:t>3</w:t>
      </w:r>
      <w:r>
        <w:t>年</w:t>
      </w:r>
      <w:r>
        <w:t>4</w:t>
      </w:r>
      <w:r>
        <w:t>月竣工验收、上图入库阶段</w:t>
      </w:r>
      <w:bookmarkEnd w:id="1"/>
      <w:r>
        <w:t>。</w:t>
      </w:r>
    </w:p>
    <w:p w:rsidR="00AE527C" w:rsidRDefault="0010048B">
      <w:pPr>
        <w:numPr>
          <w:ilvl w:val="0"/>
          <w:numId w:val="1"/>
        </w:numPr>
        <w:adjustRightInd w:val="0"/>
        <w:snapToGrid w:val="0"/>
        <w:spacing w:line="560" w:lineRule="exact"/>
        <w:ind w:left="0" w:firstLine="720"/>
        <w:rPr>
          <w:rFonts w:ascii="楷体_GB2312" w:eastAsia="楷体_GB2312" w:hAnsi="宋体"/>
          <w:b/>
          <w:lang w:val="zh-CN"/>
        </w:rPr>
      </w:pPr>
      <w:r>
        <w:rPr>
          <w:rFonts w:ascii="楷体_GB2312" w:eastAsia="楷体_GB2312" w:hAnsi="宋体" w:hint="eastAsia"/>
          <w:b/>
          <w:lang w:val="zh-CN"/>
        </w:rPr>
        <w:t>项目管理情况。</w:t>
      </w:r>
    </w:p>
    <w:p w:rsidR="00AE527C" w:rsidRDefault="0010048B" w:rsidP="0010048B">
      <w:pPr>
        <w:pStyle w:val="BodyText1I2"/>
        <w:spacing w:line="560" w:lineRule="exact"/>
        <w:ind w:firstLineChars="239" w:firstLine="765"/>
        <w:rPr>
          <w:rFonts w:ascii="仿宋_GB2312" w:eastAsia="仿宋_GB2312" w:hAnsi="宋体" w:cs="Times New Roman"/>
          <w:kern w:val="2"/>
          <w:sz w:val="32"/>
          <w:szCs w:val="32"/>
          <w:lang w:val="zh-CN"/>
        </w:rPr>
      </w:pPr>
      <w:r>
        <w:rPr>
          <w:rFonts w:ascii="仿宋_GB2312" w:eastAsia="仿宋_GB2312" w:hAnsi="宋体" w:cs="Times New Roman" w:hint="eastAsia"/>
          <w:kern w:val="2"/>
          <w:sz w:val="32"/>
          <w:szCs w:val="32"/>
          <w:lang w:val="zh-CN"/>
        </w:rPr>
        <w:t>为确保2022年绵竹市高标准农田“非耕地”占用面积补建项目顺利完成，绵竹市农业农村局成立2022年绵竹市高标准农田“非耕地”占用面积补建项目领导小组，项目实施的重大决策由农田建设项目领导小组决定。领导小组下设办公室，负责项目勘测设计、项目实施方案编制、工程技术指导、项目施工监督、项目县级验收等。项目镇同时成立主要领导任组长的项目实施小组，负责项目施工组织、质量监督、施工安全、项目验收（工程量统计、竣工图）、工程结算等。本项目资金支付严格按照国库支付有关规定执行，工程资金分阶段拨付。</w:t>
      </w:r>
    </w:p>
    <w:p w:rsidR="00AE527C" w:rsidRDefault="0010048B">
      <w:pPr>
        <w:numPr>
          <w:ilvl w:val="0"/>
          <w:numId w:val="1"/>
        </w:numPr>
        <w:adjustRightInd w:val="0"/>
        <w:snapToGrid w:val="0"/>
        <w:spacing w:line="560" w:lineRule="exact"/>
        <w:ind w:left="0" w:firstLine="720"/>
        <w:rPr>
          <w:rFonts w:ascii="仿宋_GB2312" w:eastAsia="楷体_GB2312" w:hAnsi="宋体"/>
        </w:rPr>
      </w:pPr>
      <w:r>
        <w:rPr>
          <w:rFonts w:ascii="楷体_GB2312" w:eastAsia="楷体_GB2312" w:hAnsi="宋体" w:hint="eastAsia"/>
          <w:b/>
          <w:lang w:val="zh-CN"/>
        </w:rPr>
        <w:t>项目监管情况。</w:t>
      </w:r>
      <w:r>
        <w:rPr>
          <w:rFonts w:ascii="仿宋_GB2312" w:eastAsia="楷体_GB2312" w:hAnsi="宋体" w:hint="eastAsia"/>
        </w:rPr>
        <w:t>项目镇街每日上报施工进度，镇村成立质量监督小组负责日常质量监管，市农业农村局不定期进行监督检查。</w:t>
      </w:r>
    </w:p>
    <w:p w:rsidR="00AE527C" w:rsidRDefault="0010048B">
      <w:pPr>
        <w:adjustRightInd w:val="0"/>
        <w:snapToGrid w:val="0"/>
        <w:spacing w:line="560" w:lineRule="exact"/>
        <w:rPr>
          <w:rFonts w:ascii="仿宋_GB2312" w:hAnsi="宋体"/>
          <w:lang w:val="zh-CN"/>
        </w:rPr>
      </w:pPr>
      <w:r>
        <w:rPr>
          <w:rFonts w:ascii="黑体" w:eastAsia="黑体" w:hAnsi="宋体" w:hint="eastAsia"/>
        </w:rPr>
        <w:t>四、项目绩效情况</w:t>
      </w:r>
      <w:r>
        <w:rPr>
          <w:rFonts w:ascii="仿宋_GB2312" w:hAnsi="宋体"/>
          <w:lang w:val="zh-CN"/>
        </w:rPr>
        <w:tab/>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AE527C" w:rsidRDefault="0010048B">
      <w:pPr>
        <w:adjustRightInd w:val="0"/>
        <w:snapToGrid w:val="0"/>
        <w:spacing w:line="560" w:lineRule="exact"/>
        <w:ind w:firstLine="720"/>
        <w:rPr>
          <w:rFonts w:ascii="仿宋_GB2312" w:hAnsi="宋体"/>
        </w:rPr>
      </w:pPr>
      <w:r>
        <w:rPr>
          <w:rFonts w:ascii="仿宋_GB2312" w:hAnsi="宋体" w:hint="eastAsia"/>
        </w:rPr>
        <w:t>该项目目前已完成主体工程，各镇街正在进行验收，待验收完成后申请县级验收。</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AE527C" w:rsidRDefault="0010048B">
      <w:pPr>
        <w:spacing w:line="560" w:lineRule="exact"/>
        <w:ind w:firstLine="600"/>
        <w:rPr>
          <w:rFonts w:ascii="仿宋_GB2312" w:hAnsi="宋体"/>
          <w:lang w:val="zh-CN"/>
        </w:rPr>
      </w:pPr>
      <w:r>
        <w:rPr>
          <w:rFonts w:hint="eastAsia"/>
        </w:rPr>
        <w:t>通过项目的实施，项目实施区域农业生产基础将条件得到较大的改善，农业抵御自然灾害的能力得以增强，有效地促进农村经济的发展。预期经济效益、社会效益和生态效益明显。</w:t>
      </w:r>
      <w:r>
        <w:rPr>
          <w:rFonts w:hint="eastAsia"/>
          <w:b/>
          <w:bCs/>
        </w:rPr>
        <w:t>（一）经济效益。</w:t>
      </w:r>
      <w:r>
        <w:rPr>
          <w:rFonts w:hint="eastAsia"/>
        </w:rPr>
        <w:t>项目通过水利工程建设、田间道路</w:t>
      </w:r>
      <w:r>
        <w:rPr>
          <w:rFonts w:hint="eastAsia"/>
        </w:rPr>
        <w:lastRenderedPageBreak/>
        <w:t>工程、土地平整工程等一系列措施，不仅改善了项目实施区域农业基础设施和生产条件，增强项目实施区域优良品种推广面积，提高农民发展无公害、绿色农产品生产意识和科学种田的积极性，显著提高农业综合生产能力，实现农业增产、增效和农民增收的目标。项目实施后，可以新增粮食生产能力</w:t>
      </w:r>
      <w:r>
        <w:rPr>
          <w:rFonts w:hint="eastAsia"/>
        </w:rPr>
        <w:t>100.46</w:t>
      </w:r>
      <w:r>
        <w:rPr>
          <w:rFonts w:hint="eastAsia"/>
        </w:rPr>
        <w:t>万</w:t>
      </w:r>
      <w:r>
        <w:rPr>
          <w:rFonts w:hint="eastAsia"/>
        </w:rPr>
        <w:t>kg</w:t>
      </w:r>
      <w:r>
        <w:rPr>
          <w:rFonts w:hint="eastAsia"/>
        </w:rPr>
        <w:t>，新增油料生产能力</w:t>
      </w:r>
      <w:r>
        <w:rPr>
          <w:rFonts w:hint="eastAsia"/>
        </w:rPr>
        <w:t>4.66</w:t>
      </w:r>
      <w:r>
        <w:rPr>
          <w:rFonts w:hint="eastAsia"/>
        </w:rPr>
        <w:t>万</w:t>
      </w:r>
      <w:r>
        <w:rPr>
          <w:rFonts w:hint="eastAsia"/>
        </w:rPr>
        <w:t>kg</w:t>
      </w:r>
      <w:r>
        <w:rPr>
          <w:rFonts w:hint="eastAsia"/>
        </w:rPr>
        <w:t>，新增蔬菜生产能力</w:t>
      </w:r>
      <w:r>
        <w:rPr>
          <w:rFonts w:hint="eastAsia"/>
        </w:rPr>
        <w:t>43.92</w:t>
      </w:r>
      <w:r>
        <w:rPr>
          <w:rFonts w:hint="eastAsia"/>
        </w:rPr>
        <w:t>万</w:t>
      </w:r>
      <w:r>
        <w:rPr>
          <w:rFonts w:hint="eastAsia"/>
        </w:rPr>
        <w:t>kg</w:t>
      </w:r>
      <w:r>
        <w:rPr>
          <w:rFonts w:hint="eastAsia"/>
        </w:rPr>
        <w:t>，农产品优质率达到</w:t>
      </w:r>
      <w:r>
        <w:rPr>
          <w:rFonts w:hint="eastAsia"/>
        </w:rPr>
        <w:t>95%</w:t>
      </w:r>
      <w:r>
        <w:rPr>
          <w:rFonts w:hint="eastAsia"/>
        </w:rPr>
        <w:t>以上。同时生产条件的改善为广大农民进行产业结构调整提供了条件，也为农民专业合作组织、种植大户和家庭农场等新型农业经营主体发展创造了良好的条件，项目实施后将逐步建立起规模化、集约化、专业化、组织化和社会化相结合的新型农业经营体系。通过大力发展多种经营，多渠道、多途径增加收入，预计项目实施区域可新增种植业产值</w:t>
      </w:r>
      <w:r>
        <w:rPr>
          <w:rFonts w:hint="eastAsia"/>
        </w:rPr>
        <w:t>325.22</w:t>
      </w:r>
      <w:r>
        <w:rPr>
          <w:rFonts w:hint="eastAsia"/>
        </w:rPr>
        <w:t>万元，农民纯收入增加总额（包括节约的肥料、灌溉等生产成本）将达到</w:t>
      </w:r>
      <w:r>
        <w:rPr>
          <w:rFonts w:hint="eastAsia"/>
        </w:rPr>
        <w:t>506.92</w:t>
      </w:r>
      <w:r>
        <w:rPr>
          <w:rFonts w:hint="eastAsia"/>
        </w:rPr>
        <w:t>万元，人均节本增收</w:t>
      </w:r>
      <w:r>
        <w:rPr>
          <w:rFonts w:hint="eastAsia"/>
        </w:rPr>
        <w:t>198.79</w:t>
      </w:r>
      <w:r>
        <w:rPr>
          <w:rFonts w:hint="eastAsia"/>
        </w:rPr>
        <w:t>元。</w:t>
      </w:r>
      <w:r>
        <w:rPr>
          <w:rFonts w:hint="eastAsia"/>
          <w:b/>
          <w:bCs/>
        </w:rPr>
        <w:t>（二）社会效益。</w:t>
      </w:r>
      <w:r>
        <w:rPr>
          <w:rFonts w:hint="eastAsia"/>
        </w:rPr>
        <w:t>项目建设解决了当前农村急需解决、农民迫切要求的实际问题，国家财政的投入，是党和国家对农业、农民关心的具体体现；在建设中，各级党委、政府领导亲临现场参加规划、指导和监督，拉近了和广大农民群众的距离，让群众真正的了解我们的政府、干部在为群众办实事办好事，使党群、干群关系进一步密切，促进了农村社会的和谐稳定。通过水利设施、田间道路建设，改善项目实施区域村容村貌。项目建成后，将显著改善项目实施区域农田基础条件，改善灌溉达标面积</w:t>
      </w:r>
      <w:r>
        <w:rPr>
          <w:rFonts w:hint="eastAsia"/>
        </w:rPr>
        <w:t>2.30</w:t>
      </w:r>
      <w:r>
        <w:rPr>
          <w:rFonts w:hint="eastAsia"/>
        </w:rPr>
        <w:t>万亩，年节约水量</w:t>
      </w:r>
      <w:r>
        <w:rPr>
          <w:rFonts w:hint="eastAsia"/>
        </w:rPr>
        <w:t>89.85</w:t>
      </w:r>
      <w:r>
        <w:rPr>
          <w:rFonts w:hint="eastAsia"/>
        </w:rPr>
        <w:t>万</w:t>
      </w:r>
      <w:r>
        <w:rPr>
          <w:rFonts w:hint="eastAsia"/>
        </w:rPr>
        <w:t>m3</w:t>
      </w:r>
      <w:r>
        <w:rPr>
          <w:rFonts w:hint="eastAsia"/>
        </w:rPr>
        <w:t>，灌溉水利用率提高</w:t>
      </w:r>
      <w:r>
        <w:rPr>
          <w:rFonts w:hint="eastAsia"/>
        </w:rPr>
        <w:t>18%</w:t>
      </w:r>
      <w:r>
        <w:rPr>
          <w:rFonts w:hint="eastAsia"/>
        </w:rPr>
        <w:t>，</w:t>
      </w:r>
      <w:r>
        <w:rPr>
          <w:rFonts w:hint="eastAsia"/>
        </w:rPr>
        <w:lastRenderedPageBreak/>
        <w:t>实现灌溉有渠，排水有沟，达到节水、高效的目的，提高农业基础设施抗灾能力，促进水资源的合理利用和生态环境的良性循环。</w:t>
      </w:r>
      <w:r>
        <w:rPr>
          <w:rFonts w:hint="eastAsia"/>
          <w:b/>
          <w:bCs/>
        </w:rPr>
        <w:t>（三）生态效益。</w:t>
      </w:r>
      <w:r>
        <w:rPr>
          <w:rFonts w:hint="eastAsia"/>
        </w:rPr>
        <w:t>项目实施后，生态环境将得到明显改善，净化环境、保持水土、涵养水源等作用将得到充分发挥，可持续发展能力得到提高。</w:t>
      </w:r>
      <w:r>
        <w:rPr>
          <w:rFonts w:hint="eastAsia"/>
        </w:rPr>
        <w:t>1</w:t>
      </w:r>
      <w:r>
        <w:rPr>
          <w:rFonts w:hint="eastAsia"/>
        </w:rPr>
        <w:t>、节约水资源。通过项目实施区域水利设施的配套完善，节水灌溉技术的推广，可有效解决灌溉和排水问题，有利于解决项目实施区域季节性缺水和洪灾问题，减少防洪抢险费用和洪灾损失。</w:t>
      </w:r>
      <w:r>
        <w:rPr>
          <w:rFonts w:hint="eastAsia"/>
        </w:rPr>
        <w:t>2</w:t>
      </w:r>
      <w:r>
        <w:rPr>
          <w:rFonts w:hint="eastAsia"/>
        </w:rPr>
        <w:t>、减少自然灾害对生态环境的破坏。项目实施后，农业基础设施条件将得到全面改善；通过排灌渠系的建设，减少洪涝灾害的影响。通过田块整治及排灌渠系的建设，减少地表就径流，减少水土流失。</w:t>
      </w:r>
    </w:p>
    <w:p w:rsidR="00AE527C" w:rsidRDefault="0010048B">
      <w:pPr>
        <w:adjustRightInd w:val="0"/>
        <w:snapToGrid w:val="0"/>
        <w:spacing w:line="560" w:lineRule="exact"/>
        <w:ind w:firstLine="1134"/>
        <w:rPr>
          <w:rFonts w:ascii="黑体" w:eastAsia="黑体" w:hAnsi="宋体"/>
        </w:rPr>
      </w:pPr>
      <w:r>
        <w:rPr>
          <w:rFonts w:ascii="黑体" w:eastAsia="黑体" w:hAnsi="宋体" w:hint="eastAsia"/>
        </w:rPr>
        <w:t>五、评价结论及建议</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（一）评价结论。</w:t>
      </w:r>
    </w:p>
    <w:p w:rsidR="00AE527C" w:rsidRDefault="0010048B" w:rsidP="0010048B">
      <w:pPr>
        <w:pStyle w:val="a6"/>
        <w:spacing w:after="0" w:line="560" w:lineRule="exact"/>
        <w:ind w:firstLine="320"/>
        <w:rPr>
          <w:rFonts w:ascii="仿宋_GB2312" w:hAnsi="宋体"/>
          <w:bdr w:val="single" w:sz="4" w:space="0" w:color="auto"/>
          <w:lang w:val="zh-CN"/>
        </w:rPr>
      </w:pPr>
      <w:r>
        <w:rPr>
          <w:rFonts w:ascii="仿宋_GB2312" w:hAnsi="宋体" w:hint="eastAsia"/>
        </w:rPr>
        <w:t>项目全面完成任务，资金支出合规，项目得分100分</w:t>
      </w:r>
      <w:r>
        <w:rPr>
          <w:rFonts w:ascii="仿宋_GB2312" w:hAnsi="宋体" w:hint="eastAsia"/>
          <w:lang w:val="zh-CN"/>
        </w:rPr>
        <w:t>。</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AE527C" w:rsidRDefault="0010048B">
      <w:pPr>
        <w:adjustRightInd w:val="0"/>
        <w:snapToGrid w:val="0"/>
        <w:spacing w:line="560" w:lineRule="exact"/>
        <w:ind w:firstLineChars="300" w:firstLine="960"/>
        <w:rPr>
          <w:rFonts w:ascii="仿宋_GB2312" w:hAnsi="宋体"/>
          <w:lang w:val="zh-CN"/>
        </w:rPr>
      </w:pPr>
      <w:r>
        <w:rPr>
          <w:rFonts w:ascii="仿宋_GB2312" w:hAnsi="宋体" w:hint="eastAsia"/>
        </w:rPr>
        <w:t>无</w:t>
      </w:r>
      <w:r>
        <w:rPr>
          <w:rFonts w:ascii="仿宋_GB2312" w:hAnsi="宋体" w:hint="eastAsia"/>
          <w:lang w:val="zh-CN"/>
        </w:rPr>
        <w:t>。</w:t>
      </w:r>
    </w:p>
    <w:p w:rsidR="00AE527C" w:rsidRDefault="0010048B">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（三）相关建议。</w:t>
      </w:r>
    </w:p>
    <w:p w:rsidR="00AE527C" w:rsidRDefault="0010048B">
      <w:pPr>
        <w:adjustRightInd w:val="0"/>
        <w:snapToGrid w:val="0"/>
        <w:spacing w:line="560" w:lineRule="exact"/>
        <w:ind w:firstLineChars="200" w:firstLine="640"/>
        <w:rPr>
          <w:rFonts w:ascii="仿宋_GB2312" w:hAnsi="宋体"/>
        </w:rPr>
      </w:pPr>
      <w:r>
        <w:rPr>
          <w:rFonts w:ascii="仿宋_GB2312" w:hAnsi="宋体" w:hint="eastAsia"/>
        </w:rPr>
        <w:t xml:space="preserve">  无。</w:t>
      </w:r>
    </w:p>
    <w:sectPr w:rsidR="00AE527C" w:rsidSect="00AE527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方正小标宋简体">
    <w:altName w:val="方正舒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71EDDA"/>
    <w:multiLevelType w:val="singleLevel"/>
    <w:tmpl w:val="A671EDDA"/>
    <w:lvl w:ilvl="0">
      <w:start w:val="1"/>
      <w:numFmt w:val="chineseCounting"/>
      <w:suff w:val="nothing"/>
      <w:lvlText w:val="（%1）"/>
      <w:lvlJc w:val="left"/>
      <w:pPr>
        <w:ind w:left="-16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YzgzMzUxYWVmOGUxZDUwODNhMjA4MzI0MWYzY2I3YjIifQ=="/>
  </w:docVars>
  <w:rsids>
    <w:rsidRoot w:val="00FD3EFA"/>
    <w:rsid w:val="0010048B"/>
    <w:rsid w:val="00291918"/>
    <w:rsid w:val="002E7D7A"/>
    <w:rsid w:val="00427240"/>
    <w:rsid w:val="004C1EF5"/>
    <w:rsid w:val="00535C6B"/>
    <w:rsid w:val="00543D64"/>
    <w:rsid w:val="00572F4E"/>
    <w:rsid w:val="005842A2"/>
    <w:rsid w:val="008F6FBC"/>
    <w:rsid w:val="008F788A"/>
    <w:rsid w:val="00A36A47"/>
    <w:rsid w:val="00AC3975"/>
    <w:rsid w:val="00AE527C"/>
    <w:rsid w:val="00B93DC2"/>
    <w:rsid w:val="00C10EE0"/>
    <w:rsid w:val="00CB666B"/>
    <w:rsid w:val="00E4357F"/>
    <w:rsid w:val="00F251E9"/>
    <w:rsid w:val="00FD3EFA"/>
    <w:rsid w:val="00FD62E7"/>
    <w:rsid w:val="2A2F06F2"/>
    <w:rsid w:val="3B7F16CD"/>
    <w:rsid w:val="49AB4E2F"/>
    <w:rsid w:val="58C81554"/>
    <w:rsid w:val="6D941139"/>
    <w:rsid w:val="735E077A"/>
    <w:rsid w:val="75CE1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BodyText1I2"/>
    <w:qFormat/>
    <w:rsid w:val="00AE527C"/>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2">
    <w:name w:val="BodyText1I2"/>
    <w:basedOn w:val="BodyTextIndent"/>
    <w:next w:val="a"/>
    <w:qFormat/>
    <w:rsid w:val="00AE527C"/>
    <w:pPr>
      <w:ind w:firstLine="420"/>
    </w:pPr>
  </w:style>
  <w:style w:type="paragraph" w:customStyle="1" w:styleId="BodyTextIndent">
    <w:name w:val="BodyTextIndent"/>
    <w:basedOn w:val="a"/>
    <w:qFormat/>
    <w:rsid w:val="00AE527C"/>
    <w:pPr>
      <w:widowControl/>
      <w:spacing w:line="360" w:lineRule="auto"/>
      <w:ind w:firstLineChars="200" w:firstLine="600"/>
      <w:jc w:val="left"/>
      <w:textAlignment w:val="baseline"/>
    </w:pPr>
    <w:rPr>
      <w:rFonts w:ascii="仿宋" w:eastAsia="仿宋" w:hAnsi="仿宋" w:cs="宋体"/>
      <w:bCs/>
      <w:kern w:val="0"/>
      <w:sz w:val="30"/>
      <w:szCs w:val="30"/>
    </w:rPr>
  </w:style>
  <w:style w:type="paragraph" w:styleId="a3">
    <w:name w:val="Body Text"/>
    <w:basedOn w:val="a"/>
    <w:uiPriority w:val="99"/>
    <w:semiHidden/>
    <w:unhideWhenUsed/>
    <w:qFormat/>
    <w:rsid w:val="00AE527C"/>
    <w:pPr>
      <w:spacing w:after="120"/>
    </w:pPr>
  </w:style>
  <w:style w:type="paragraph" w:styleId="a4">
    <w:name w:val="footer"/>
    <w:basedOn w:val="a"/>
    <w:link w:val="Char"/>
    <w:uiPriority w:val="99"/>
    <w:unhideWhenUsed/>
    <w:qFormat/>
    <w:rsid w:val="00AE527C"/>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rsid w:val="00AE527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6">
    <w:name w:val="Body Text First Indent"/>
    <w:basedOn w:val="a3"/>
    <w:uiPriority w:val="99"/>
    <w:semiHidden/>
    <w:unhideWhenUsed/>
    <w:qFormat/>
    <w:rsid w:val="00AE527C"/>
    <w:pPr>
      <w:ind w:firstLineChars="100" w:firstLine="420"/>
    </w:pPr>
  </w:style>
  <w:style w:type="character" w:customStyle="1" w:styleId="Char0">
    <w:name w:val="页眉 Char"/>
    <w:basedOn w:val="a0"/>
    <w:link w:val="a5"/>
    <w:uiPriority w:val="99"/>
    <w:qFormat/>
    <w:rsid w:val="00AE527C"/>
    <w:rPr>
      <w:sz w:val="18"/>
      <w:szCs w:val="18"/>
    </w:rPr>
  </w:style>
  <w:style w:type="character" w:customStyle="1" w:styleId="Char">
    <w:name w:val="页脚 Char"/>
    <w:basedOn w:val="a0"/>
    <w:link w:val="a4"/>
    <w:uiPriority w:val="99"/>
    <w:qFormat/>
    <w:rsid w:val="00AE527C"/>
    <w:rPr>
      <w:sz w:val="18"/>
      <w:szCs w:val="18"/>
    </w:rPr>
  </w:style>
  <w:style w:type="paragraph" w:customStyle="1" w:styleId="a7">
    <w:name w:val="四号正文"/>
    <w:basedOn w:val="a"/>
    <w:link w:val="Char1"/>
    <w:uiPriority w:val="99"/>
    <w:qFormat/>
    <w:rsid w:val="00AE527C"/>
    <w:pPr>
      <w:spacing w:line="360" w:lineRule="auto"/>
    </w:pPr>
    <w:rPr>
      <w:rFonts w:ascii="??" w:eastAsia="宋体" w:hAnsi="??"/>
      <w:color w:val="000000"/>
      <w:kern w:val="0"/>
      <w:sz w:val="28"/>
      <w:szCs w:val="21"/>
    </w:rPr>
  </w:style>
  <w:style w:type="character" w:customStyle="1" w:styleId="Char1">
    <w:name w:val="四号正文 Char"/>
    <w:link w:val="a7"/>
    <w:uiPriority w:val="99"/>
    <w:qFormat/>
    <w:locked/>
    <w:rsid w:val="00AE527C"/>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465</Words>
  <Characters>2652</Characters>
  <Application>Microsoft Office Word</Application>
  <DocSecurity>0</DocSecurity>
  <Lines>22</Lines>
  <Paragraphs>6</Paragraphs>
  <ScaleCrop>false</ScaleCrop>
  <Company>Microsoft</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13</cp:revision>
  <dcterms:created xsi:type="dcterms:W3CDTF">2020-06-08T02:26:00Z</dcterms:created>
  <dcterms:modified xsi:type="dcterms:W3CDTF">2023-04-21T02:33:00Z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22948A0D0EC74D52B0170630C2508967</vt:lpwstr>
  </property>
</Properties>
</file>