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600" w:lineRule="exact"/>
        <w:jc w:val="center"/>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rPr>
        <w:t>项目支出绩效自评报告</w:t>
      </w:r>
    </w:p>
    <w:p>
      <w:pPr>
        <w:pStyle w:val="7"/>
        <w:spacing w:line="600" w:lineRule="exact"/>
        <w:jc w:val="center"/>
        <w:rPr>
          <w:rFonts w:hint="eastAsia" w:ascii="仿宋_GB2312" w:hAnsi="仿宋_GB2312" w:eastAsia="仿宋_GB2312" w:cs="仿宋_GB2312"/>
          <w:b w:val="0"/>
          <w:bCs w:val="0"/>
          <w:color w:val="auto"/>
          <w:kern w:val="2"/>
          <w:sz w:val="28"/>
          <w:szCs w:val="28"/>
          <w:lang w:val="en-US" w:eastAsia="zh-CN"/>
        </w:rPr>
      </w:pPr>
      <w:r>
        <w:rPr>
          <w:rFonts w:hint="eastAsia" w:ascii="仿宋_GB2312" w:hAnsi="仿宋_GB2312" w:eastAsia="仿宋_GB2312" w:cs="仿宋_GB2312"/>
          <w:b w:val="0"/>
          <w:bCs w:val="0"/>
          <w:color w:val="auto"/>
          <w:kern w:val="2"/>
          <w:sz w:val="28"/>
          <w:szCs w:val="28"/>
          <w:lang w:val="en-US" w:eastAsia="zh-CN"/>
        </w:rPr>
        <w:t>(</w:t>
      </w:r>
      <w:r>
        <w:rPr>
          <w:rFonts w:hint="eastAsia" w:ascii="仿宋_GB2312" w:hAnsi="仿宋_GB2312" w:eastAsia="仿宋_GB2312" w:cs="仿宋_GB2312"/>
          <w:b w:val="0"/>
          <w:bCs w:val="0"/>
          <w:color w:val="auto"/>
          <w:kern w:val="2"/>
          <w:sz w:val="28"/>
          <w:szCs w:val="28"/>
          <w:lang w:val="en-US"/>
        </w:rPr>
        <w:t>2022年度绵竹市重大农业会展活动</w:t>
      </w:r>
      <w:r>
        <w:rPr>
          <w:rFonts w:hint="eastAsia" w:ascii="仿宋_GB2312" w:hAnsi="仿宋_GB2312" w:eastAsia="仿宋_GB2312" w:cs="仿宋_GB2312"/>
          <w:b w:val="0"/>
          <w:bCs w:val="0"/>
          <w:color w:val="auto"/>
          <w:kern w:val="2"/>
          <w:sz w:val="28"/>
          <w:szCs w:val="28"/>
          <w:lang w:val="en-US" w:eastAsia="zh-CN"/>
        </w:rPr>
        <w:t>项目)</w:t>
      </w: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pStyle w:val="2"/>
        <w:numPr>
          <w:ilvl w:val="3"/>
          <w:numId w:val="0"/>
        </w:numPr>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2022年度</w:t>
      </w:r>
      <w:r>
        <w:rPr>
          <w:rFonts w:hint="eastAsia" w:ascii="仿宋" w:hAnsi="仿宋" w:eastAsia="仿宋" w:cs="仿宋"/>
          <w:b w:val="0"/>
          <w:bCs w:val="0"/>
          <w:sz w:val="32"/>
          <w:szCs w:val="32"/>
          <w:lang w:val="zh-CN"/>
        </w:rPr>
        <w:t>绵竹市重大农业会展活动项目，项目总投资</w:t>
      </w:r>
      <w:r>
        <w:rPr>
          <w:rFonts w:hint="eastAsia" w:ascii="仿宋" w:hAnsi="仿宋" w:eastAsia="仿宋" w:cs="仿宋"/>
          <w:b w:val="0"/>
          <w:bCs w:val="0"/>
          <w:sz w:val="32"/>
          <w:szCs w:val="32"/>
        </w:rPr>
        <w:t>29.926667万元，资金来源于本级财政资金。</w:t>
      </w:r>
    </w:p>
    <w:p>
      <w:pPr>
        <w:ind w:firstLine="640" w:firstLineChars="200"/>
      </w:pPr>
      <w:r>
        <w:t>1．项目主管部门（绵竹市农业农村局）在该项目管理中的职能:编制实施方案，组织实施，检查验收，项目总结。</w:t>
      </w:r>
    </w:p>
    <w:p>
      <w:pPr>
        <w:ind w:firstLine="640" w:firstLineChars="200"/>
      </w:pPr>
      <w:r>
        <w:t>2．项目立项、资金申报的依据：依据《</w:t>
      </w:r>
      <w:r>
        <w:rPr>
          <w:rFonts w:hint="eastAsia"/>
        </w:rPr>
        <w:t>中共德阳市委农村工作领导小组办公室关于做好2022年度重大农业会展活动工作的通知</w:t>
      </w:r>
      <w:r>
        <w:t>》和《</w:t>
      </w:r>
      <w:r>
        <w:rPr>
          <w:rFonts w:hint="eastAsia"/>
        </w:rPr>
        <w:t>绵竹市财政局关于市农业农村局请示解决参加重大农业会展经费的意见</w:t>
      </w:r>
      <w:r>
        <w:t>》（</w:t>
      </w:r>
      <w:r>
        <w:rPr>
          <w:rFonts w:hint="eastAsia"/>
        </w:rPr>
        <w:t>竹</w:t>
      </w:r>
      <w:r>
        <w:t>财农</w:t>
      </w:r>
      <w:r>
        <w:rPr>
          <w:rFonts w:hint="eastAsia"/>
        </w:rPr>
        <w:t>复</w:t>
      </w:r>
      <w:r>
        <w:t>〔20</w:t>
      </w:r>
      <w:r>
        <w:rPr>
          <w:rFonts w:hint="eastAsia"/>
        </w:rPr>
        <w:t>22</w:t>
      </w:r>
      <w:r>
        <w:t>〕</w:t>
      </w:r>
      <w:r>
        <w:rPr>
          <w:rFonts w:hint="eastAsia"/>
        </w:rPr>
        <w:t>338</w:t>
      </w:r>
      <w:r>
        <w:t xml:space="preserve"> 号）文件。</w:t>
      </w:r>
    </w:p>
    <w:p>
      <w:pPr>
        <w:ind w:firstLine="640" w:firstLineChars="200"/>
      </w:pPr>
      <w:r>
        <w:t>3．资金管理办法</w:t>
      </w:r>
      <w:r>
        <w:rPr>
          <w:rFonts w:hint="eastAsia"/>
          <w:lang w:eastAsia="zh-CN"/>
        </w:rPr>
        <w:t>：</w:t>
      </w:r>
      <w:r>
        <w:rPr>
          <w:rFonts w:hint="eastAsia"/>
        </w:rPr>
        <w:t>根据文件要求，</w:t>
      </w:r>
      <w:r>
        <w:t>编制实施方案，采用先建后补方式兑现财政</w:t>
      </w:r>
      <w:r>
        <w:rPr>
          <w:rFonts w:hint="eastAsia"/>
        </w:rPr>
        <w:t>拨付的项目</w:t>
      </w:r>
      <w:r>
        <w:t>资金。</w:t>
      </w:r>
    </w:p>
    <w:p>
      <w:pPr>
        <w:ind w:firstLine="640" w:firstLineChars="200"/>
      </w:pPr>
      <w:r>
        <w:t xml:space="preserve"> 4．资金分配的原则及考虑因素：</w:t>
      </w:r>
      <w:r>
        <w:rPr>
          <w:rFonts w:hint="eastAsia" w:ascii="仿宋" w:hAnsi="仿宋" w:eastAsia="仿宋" w:cs="仿宋"/>
          <w:lang w:val="zh-CN"/>
        </w:rPr>
        <w:t>项目总投资</w:t>
      </w:r>
      <w:r>
        <w:rPr>
          <w:rFonts w:hint="eastAsia" w:ascii="仿宋" w:hAnsi="仿宋" w:eastAsia="仿宋" w:cs="仿宋"/>
        </w:rPr>
        <w:t>29.926667万元，资金分配原则如下：</w:t>
      </w:r>
    </w:p>
    <w:p>
      <w:pPr>
        <w:ind w:firstLine="640" w:firstLineChars="200"/>
      </w:pPr>
      <w:r>
        <w:rPr>
          <w:rFonts w:hint="eastAsia"/>
        </w:rPr>
        <w:t>（1）</w:t>
      </w:r>
      <w:r>
        <w:t>2022年中国农民丰收节德阳主场活动：</w:t>
      </w:r>
      <w:r>
        <w:rPr>
          <w:rFonts w:hint="eastAsia"/>
        </w:rPr>
        <w:t>该活动于</w:t>
      </w:r>
      <w:r>
        <w:t>9月20日</w:t>
      </w:r>
      <w:r>
        <w:rPr>
          <w:rFonts w:hint="eastAsia"/>
        </w:rPr>
        <w:t>在德阳市旌阳区举办，我市共有</w:t>
      </w:r>
      <w:r>
        <w:t>参展企业3</w:t>
      </w:r>
      <w:r>
        <w:rPr>
          <w:rFonts w:hint="eastAsia"/>
        </w:rPr>
        <w:t>个</w:t>
      </w:r>
      <w:r>
        <w:t>，</w:t>
      </w:r>
      <w:r>
        <w:rPr>
          <w:rFonts w:hint="eastAsia"/>
        </w:rPr>
        <w:t>参展</w:t>
      </w:r>
      <w:r>
        <w:t>补助0.1万元</w:t>
      </w:r>
      <w:r>
        <w:rPr>
          <w:rFonts w:hint="eastAsia"/>
        </w:rPr>
        <w:t>/个</w:t>
      </w:r>
      <w:r>
        <w:t>，所需经费0.3万元。</w:t>
      </w:r>
    </w:p>
    <w:p>
      <w:pPr>
        <w:ind w:firstLine="640" w:firstLineChars="200"/>
      </w:pPr>
      <w:r>
        <w:rPr>
          <w:rFonts w:hint="eastAsia"/>
        </w:rPr>
        <w:t>（2）</w:t>
      </w:r>
      <w:r>
        <w:t>第八届四川农业博览会：</w:t>
      </w:r>
      <w:r>
        <w:rPr>
          <w:rFonts w:hint="eastAsia"/>
        </w:rPr>
        <w:t>该活动于12月2日-5日在成都市举办，根据德阳市确定的各县（市、区）布展费用分摊比例及签订合同金额，我市需承担企业参展补助、展台搭建服务费及展位费共计25.626667</w:t>
      </w:r>
      <w:r>
        <w:t>万元，</w:t>
      </w:r>
      <w:r>
        <w:rPr>
          <w:rFonts w:hint="eastAsia"/>
        </w:rPr>
        <w:t>其中8家</w:t>
      </w:r>
      <w:r>
        <w:t>企业</w:t>
      </w:r>
      <w:r>
        <w:rPr>
          <w:rFonts w:hint="eastAsia"/>
        </w:rPr>
        <w:t>参展补助</w:t>
      </w:r>
      <w:r>
        <w:t>4万元</w:t>
      </w:r>
      <w:r>
        <w:rPr>
          <w:rFonts w:hint="eastAsia"/>
        </w:rPr>
        <w:t>，（主要补助企业往返交通、食宿、展品等）、展台搭建服务费12.96万元、展位费8.666667万元</w:t>
      </w:r>
      <w:r>
        <w:t>。</w:t>
      </w:r>
    </w:p>
    <w:p>
      <w:pPr>
        <w:ind w:firstLine="640" w:firstLineChars="200"/>
      </w:pPr>
      <w:r>
        <w:rPr>
          <w:rFonts w:hint="eastAsia"/>
        </w:rPr>
        <w:t>（3）</w:t>
      </w:r>
      <w:r>
        <w:t>第十九届中国国际农产品交易会：</w:t>
      </w:r>
      <w:r>
        <w:rPr>
          <w:rFonts w:hint="eastAsia"/>
        </w:rPr>
        <w:t>该活动于12月22日-25日在成都市举办，我市</w:t>
      </w:r>
      <w:r>
        <w:t>参展</w:t>
      </w:r>
      <w:r>
        <w:rPr>
          <w:rFonts w:hint="eastAsia"/>
        </w:rPr>
        <w:t>企业</w:t>
      </w:r>
      <w:r>
        <w:t>1</w:t>
      </w:r>
      <w:r>
        <w:rPr>
          <w:rFonts w:hint="eastAsia"/>
        </w:rPr>
        <w:t>个</w:t>
      </w:r>
      <w:r>
        <w:t>，</w:t>
      </w:r>
      <w:r>
        <w:rPr>
          <w:rFonts w:hint="eastAsia"/>
        </w:rPr>
        <w:t>共需经费2万元，其中：</w:t>
      </w:r>
      <w:r>
        <w:t>企业</w:t>
      </w:r>
      <w:r>
        <w:rPr>
          <w:rFonts w:hint="eastAsia"/>
        </w:rPr>
        <w:t>参展补助1</w:t>
      </w:r>
      <w:r>
        <w:t>万元</w:t>
      </w:r>
      <w:r>
        <w:rPr>
          <w:rFonts w:hint="eastAsia"/>
        </w:rPr>
        <w:t>，（主要补助企业往返交通、食宿、展品等）企业展位费1万元</w:t>
      </w:r>
      <w:r>
        <w:t>。</w:t>
      </w:r>
    </w:p>
    <w:p>
      <w:pPr>
        <w:ind w:firstLine="640" w:firstLineChars="200"/>
      </w:pPr>
      <w:r>
        <w:rPr>
          <w:rFonts w:hint="eastAsia"/>
        </w:rPr>
        <w:t>（4）</w:t>
      </w:r>
      <w:r>
        <w:t>、第五届直供粤港澳大湾区农产品食品产销对接会暨第四届广州世界农业食品博览会：</w:t>
      </w:r>
      <w:r>
        <w:rPr>
          <w:rFonts w:hint="eastAsia"/>
        </w:rPr>
        <w:t>改活动于</w:t>
      </w:r>
      <w:r>
        <w:t>8月18-20日在广州</w:t>
      </w:r>
      <w:r>
        <w:rPr>
          <w:rFonts w:hint="eastAsia"/>
        </w:rPr>
        <w:t>市</w:t>
      </w:r>
      <w:r>
        <w:t>举办，</w:t>
      </w:r>
      <w:r>
        <w:rPr>
          <w:rFonts w:hint="eastAsia"/>
        </w:rPr>
        <w:t>我市参展企业1个，共需经费2万元，其中：</w:t>
      </w:r>
      <w:r>
        <w:t>企业</w:t>
      </w:r>
      <w:r>
        <w:rPr>
          <w:rFonts w:hint="eastAsia"/>
        </w:rPr>
        <w:t>参展补助1</w:t>
      </w:r>
      <w:r>
        <w:t>万元</w:t>
      </w:r>
      <w:r>
        <w:rPr>
          <w:rFonts w:hint="eastAsia"/>
        </w:rPr>
        <w:t>，（主要补助企业往返交通、食宿、展品等）企业展位费1万元</w:t>
      </w:r>
      <w:r>
        <w:t>。</w:t>
      </w:r>
      <w:r>
        <w:rPr>
          <w:rFonts w:hint="eastAsia"/>
        </w:rPr>
        <w:t xml:space="preserve"> </w:t>
      </w:r>
    </w:p>
    <w:p>
      <w:pPr>
        <w:adjustRightInd w:val="0"/>
        <w:snapToGrid w:val="0"/>
        <w:spacing w:line="600" w:lineRule="exact"/>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640" w:firstLineChars="200"/>
        <w:rPr>
          <w:rFonts w:ascii="仿宋_GB2312" w:hAnsi="宋体"/>
        </w:rPr>
      </w:pPr>
      <w:r>
        <w:rPr>
          <w:rFonts w:hint="eastAsia" w:ascii="仿宋_GB2312" w:hAnsi="宋体"/>
          <w:lang w:val="zh-CN"/>
        </w:rPr>
        <w:t>依据文件要求，项目完成后，提升绵竹农业产业化品牌的影响力和知名度，扩大我市对外交流与合作，增强我市农业综合竞争能力。资金使用无重大违规违纪问题。</w:t>
      </w:r>
      <w:r>
        <w:rPr>
          <w:rFonts w:hint="eastAsia" w:ascii="仿宋_GB2312" w:hAnsi="宋体"/>
        </w:rPr>
        <w:t xml:space="preserve"> </w:t>
      </w:r>
    </w:p>
    <w:p>
      <w:pPr>
        <w:adjustRightInd w:val="0"/>
        <w:snapToGrid w:val="0"/>
        <w:spacing w:line="600" w:lineRule="exact"/>
        <w:ind w:firstLine="643" w:firstLineChars="200"/>
        <w:rPr>
          <w:rFonts w:ascii="楷体_GB2312" w:hAnsi="宋体" w:eastAsia="楷体_GB2312"/>
          <w:b/>
          <w:lang w:val="zh-CN"/>
        </w:rPr>
      </w:pPr>
      <w:r>
        <w:rPr>
          <w:rFonts w:hint="eastAsia" w:ascii="仿宋_GB2312" w:hAnsi="宋体"/>
          <w:b/>
          <w:bCs/>
        </w:rPr>
        <w:t>（三）</w:t>
      </w:r>
      <w:r>
        <w:rPr>
          <w:rFonts w:hint="eastAsia" w:ascii="楷体_GB2312" w:hAnsi="宋体" w:eastAsia="楷体_GB2312"/>
          <w:b/>
          <w:lang w:val="zh-CN"/>
        </w:rPr>
        <w:t>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1、项目业主单位自查。</w:t>
      </w:r>
    </w:p>
    <w:p>
      <w:pPr>
        <w:adjustRightInd w:val="0"/>
        <w:snapToGrid w:val="0"/>
        <w:spacing w:line="600" w:lineRule="exact"/>
        <w:ind w:firstLine="720"/>
        <w:rPr>
          <w:rFonts w:ascii="仿宋_GB2312" w:hAnsi="宋体"/>
          <w:lang w:val="zh-CN"/>
        </w:rPr>
      </w:pPr>
      <w:r>
        <w:rPr>
          <w:rFonts w:hint="eastAsia" w:ascii="仿宋_GB2312" w:hAnsi="宋体"/>
          <w:lang w:val="zh-CN"/>
        </w:rPr>
        <w:t>2、项目管理部门抽查。</w:t>
      </w:r>
    </w:p>
    <w:p>
      <w:pPr>
        <w:adjustRightInd w:val="0"/>
        <w:snapToGrid w:val="0"/>
        <w:spacing w:line="600" w:lineRule="exact"/>
        <w:ind w:firstLine="720"/>
        <w:rPr>
          <w:rFonts w:ascii="仿宋_GB2312" w:hAnsi="宋体"/>
          <w:lang w:val="zh-CN"/>
        </w:rPr>
      </w:pPr>
      <w:r>
        <w:rPr>
          <w:rFonts w:hint="eastAsia" w:ascii="仿宋_GB2312" w:hAnsi="宋体"/>
          <w:lang w:val="zh-CN"/>
        </w:rPr>
        <w:t>3、撰写自评报告。</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项目下达后，编制实施方案初稿，经局党组会议审核通过，上报绵竹市财政局审批后组织实施。</w:t>
      </w:r>
    </w:p>
    <w:p>
      <w:pPr>
        <w:adjustRightInd w:val="0"/>
        <w:snapToGrid w:val="0"/>
        <w:spacing w:line="600" w:lineRule="exact"/>
        <w:ind w:firstLine="643" w:firstLineChars="200"/>
        <w:rPr>
          <w:lang w:val="zh-CN"/>
        </w:rPr>
      </w:pPr>
      <w:r>
        <w:rPr>
          <w:rFonts w:hint="eastAsia" w:ascii="楷体_GB2312" w:hAnsi="宋体" w:eastAsia="楷体_GB2312"/>
          <w:b/>
          <w:lang w:val="zh-CN"/>
        </w:rPr>
        <w:t>（二）资金计划、到位及使用情况</w:t>
      </w:r>
    </w:p>
    <w:p>
      <w:pPr>
        <w:pStyle w:val="2"/>
        <w:numPr>
          <w:ilvl w:val="3"/>
          <w:numId w:val="0"/>
        </w:numPr>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1、资金计划</w:t>
      </w:r>
    </w:p>
    <w:p>
      <w:pPr>
        <w:pStyle w:val="2"/>
        <w:numPr>
          <w:ilvl w:val="3"/>
          <w:numId w:val="0"/>
        </w:numPr>
        <w:ind w:firstLine="640" w:firstLineChars="200"/>
        <w:rPr>
          <w:rFonts w:ascii="仿宋" w:hAnsi="仿宋" w:eastAsia="仿宋" w:cs="仿宋"/>
          <w:b w:val="0"/>
        </w:rPr>
      </w:pPr>
      <w:r>
        <w:rPr>
          <w:rFonts w:hint="eastAsia" w:ascii="仿宋" w:hAnsi="仿宋" w:eastAsia="仿宋" w:cs="仿宋"/>
          <w:b w:val="0"/>
          <w:bCs w:val="0"/>
          <w:sz w:val="32"/>
          <w:szCs w:val="32"/>
          <w:lang w:val="zh-CN"/>
        </w:rPr>
        <w:t>项目总投资</w:t>
      </w:r>
      <w:r>
        <w:rPr>
          <w:rFonts w:hint="eastAsia" w:ascii="仿宋" w:hAnsi="仿宋" w:eastAsia="仿宋" w:cs="仿宋"/>
          <w:b w:val="0"/>
          <w:bCs w:val="0"/>
          <w:sz w:val="32"/>
          <w:szCs w:val="32"/>
        </w:rPr>
        <w:t>29.926667万元，资金来源于2022年本级财政资金。</w:t>
      </w:r>
    </w:p>
    <w:p>
      <w:pPr>
        <w:adjustRightInd w:val="0"/>
        <w:snapToGrid w:val="0"/>
        <w:spacing w:line="600" w:lineRule="exact"/>
        <w:ind w:firstLine="640" w:firstLineChars="200"/>
        <w:rPr>
          <w:rFonts w:ascii="仿宋" w:hAnsi="仿宋" w:eastAsia="仿宋" w:cs="仿宋"/>
          <w:bCs/>
          <w:lang w:val="zh-CN"/>
        </w:rPr>
      </w:pPr>
      <w:r>
        <w:rPr>
          <w:rFonts w:hint="eastAsia" w:ascii="仿宋" w:hAnsi="仿宋" w:eastAsia="仿宋" w:cs="仿宋"/>
          <w:bCs/>
        </w:rPr>
        <w:t>2、</w:t>
      </w:r>
      <w:r>
        <w:rPr>
          <w:rFonts w:hint="eastAsia" w:ascii="仿宋" w:hAnsi="仿宋" w:eastAsia="仿宋" w:cs="仿宋"/>
          <w:bCs/>
          <w:lang w:val="zh-CN"/>
        </w:rPr>
        <w:t>资金到位。本级财政资金全部到位。</w:t>
      </w:r>
    </w:p>
    <w:p>
      <w:pPr>
        <w:ind w:firstLine="640" w:firstLineChars="200"/>
        <w:rPr>
          <w:rFonts w:ascii="仿宋" w:hAnsi="仿宋" w:eastAsia="仿宋" w:cs="仿宋"/>
        </w:rPr>
      </w:pPr>
      <w:r>
        <w:rPr>
          <w:rFonts w:hint="eastAsia" w:ascii="仿宋" w:hAnsi="仿宋" w:eastAsia="仿宋" w:cs="仿宋"/>
          <w:bCs/>
          <w:lang w:val="zh-CN"/>
        </w:rPr>
        <w:t>3、资金使用。</w:t>
      </w:r>
      <w:r>
        <w:rPr>
          <w:rFonts w:hint="eastAsia" w:ascii="仿宋" w:hAnsi="仿宋" w:eastAsia="仿宋" w:cs="仿宋"/>
          <w:bCs/>
          <w:lang w:val="en-US" w:eastAsia="zh-CN"/>
        </w:rPr>
        <w:t>2022年实际支付</w:t>
      </w:r>
      <w:bookmarkStart w:id="0" w:name="_GoBack"/>
      <w:bookmarkEnd w:id="0"/>
      <w:r>
        <w:rPr>
          <w:rFonts w:hint="eastAsia" w:ascii="仿宋" w:hAnsi="仿宋" w:eastAsia="仿宋" w:cs="仿宋"/>
        </w:rPr>
        <w:t>财政补助资金24.408667万元，结余财政资金5.518万元。</w:t>
      </w:r>
    </w:p>
    <w:p>
      <w:pPr>
        <w:ind w:firstLine="640" w:firstLineChars="200"/>
      </w:pPr>
      <w:r>
        <w:rPr>
          <w:rFonts w:hint="eastAsia"/>
        </w:rPr>
        <w:t>（1）</w:t>
      </w:r>
      <w:r>
        <w:t>2022年中国农民丰收节德阳主场活动：</w:t>
      </w:r>
      <w:r>
        <w:rPr>
          <w:rFonts w:hint="eastAsia"/>
        </w:rPr>
        <w:t>该活动于</w:t>
      </w:r>
      <w:r>
        <w:t>9月20日</w:t>
      </w:r>
      <w:r>
        <w:rPr>
          <w:rFonts w:hint="eastAsia"/>
        </w:rPr>
        <w:t>在德阳市旌阳区举办，我市共有</w:t>
      </w:r>
      <w:r>
        <w:t>参展企业3</w:t>
      </w:r>
      <w:r>
        <w:rPr>
          <w:rFonts w:hint="eastAsia"/>
        </w:rPr>
        <w:t>个</w:t>
      </w:r>
      <w:r>
        <w:t>，</w:t>
      </w:r>
      <w:r>
        <w:rPr>
          <w:rFonts w:hint="eastAsia"/>
        </w:rPr>
        <w:t>参展</w:t>
      </w:r>
      <w:r>
        <w:t>补助0.1万元</w:t>
      </w:r>
      <w:r>
        <w:rPr>
          <w:rFonts w:hint="eastAsia"/>
        </w:rPr>
        <w:t>/个</w:t>
      </w:r>
      <w:r>
        <w:t>，</w:t>
      </w:r>
      <w:r>
        <w:rPr>
          <w:rFonts w:hint="eastAsia"/>
        </w:rPr>
        <w:t>共拨付</w:t>
      </w:r>
      <w:r>
        <w:t>经费0.3万元。</w:t>
      </w:r>
    </w:p>
    <w:p>
      <w:pPr>
        <w:ind w:firstLine="640" w:firstLineChars="200"/>
      </w:pPr>
      <w:r>
        <w:rPr>
          <w:rFonts w:hint="eastAsia"/>
        </w:rPr>
        <w:t>（2）</w:t>
      </w:r>
      <w:r>
        <w:t>第八届四川农业博览会：</w:t>
      </w:r>
      <w:r>
        <w:rPr>
          <w:rFonts w:hint="eastAsia"/>
        </w:rPr>
        <w:t>该活动于12月2日-5日在成都市举办，根据德阳市确定的各县（市、区）布展费用分摊比例及签订合同金额，共拨付经费21.626667万元，其中：支付四川国际会展有限公司展位费8.666667</w:t>
      </w:r>
      <w:r>
        <w:t>万元</w:t>
      </w:r>
      <w:r>
        <w:rPr>
          <w:rFonts w:hint="eastAsia"/>
        </w:rPr>
        <w:t>；支付成都艺佳展览展示有限公司展位搭建费12.96万元。</w:t>
      </w:r>
    </w:p>
    <w:p>
      <w:pPr>
        <w:ind w:firstLine="640" w:firstLineChars="200"/>
      </w:pPr>
      <w:r>
        <w:rPr>
          <w:rFonts w:hint="eastAsia"/>
        </w:rPr>
        <w:t>（3）</w:t>
      </w:r>
      <w:r>
        <w:t>第十九届中国国际农产品交易会：</w:t>
      </w:r>
      <w:r>
        <w:rPr>
          <w:rFonts w:hint="eastAsia"/>
        </w:rPr>
        <w:t>该活动于12月22日-25日在成都市举办，我市</w:t>
      </w:r>
      <w:r>
        <w:t>参展</w:t>
      </w:r>
      <w:r>
        <w:rPr>
          <w:rFonts w:hint="eastAsia"/>
        </w:rPr>
        <w:t>企业</w:t>
      </w:r>
      <w:r>
        <w:t>1</w:t>
      </w:r>
      <w:r>
        <w:rPr>
          <w:rFonts w:hint="eastAsia"/>
        </w:rPr>
        <w:t>个</w:t>
      </w:r>
      <w:r>
        <w:t>，</w:t>
      </w:r>
      <w:r>
        <w:rPr>
          <w:rFonts w:hint="eastAsia"/>
        </w:rPr>
        <w:t>共拨付</w:t>
      </w:r>
      <w:r>
        <w:t>企业</w:t>
      </w:r>
      <w:r>
        <w:rPr>
          <w:rFonts w:hint="eastAsia"/>
        </w:rPr>
        <w:t>参展补助0.5</w:t>
      </w:r>
      <w:r>
        <w:t>万元</w:t>
      </w:r>
      <w:r>
        <w:rPr>
          <w:rFonts w:hint="eastAsia"/>
        </w:rPr>
        <w:t>。</w:t>
      </w:r>
    </w:p>
    <w:p>
      <w:pPr>
        <w:ind w:firstLine="640" w:firstLineChars="200"/>
        <w:rPr>
          <w:rFonts w:ascii="仿宋" w:hAnsi="仿宋" w:eastAsia="仿宋" w:cs="仿宋"/>
          <w:bCs/>
          <w:lang w:val="zh-CN"/>
        </w:rPr>
      </w:pPr>
      <w:r>
        <w:rPr>
          <w:rFonts w:hint="eastAsia"/>
        </w:rPr>
        <w:t>（4）</w:t>
      </w:r>
      <w:r>
        <w:t>、第五届直供粤港澳大湾区农产品食品产销对接会暨第四届广州世界农业食品博览会：</w:t>
      </w:r>
      <w:r>
        <w:rPr>
          <w:rFonts w:hint="eastAsia"/>
        </w:rPr>
        <w:t>改活动于</w:t>
      </w:r>
      <w:r>
        <w:t>8月18-20日在广州</w:t>
      </w:r>
      <w:r>
        <w:rPr>
          <w:rFonts w:hint="eastAsia"/>
        </w:rPr>
        <w:t>市</w:t>
      </w:r>
      <w:r>
        <w:t>举办，</w:t>
      </w:r>
      <w:r>
        <w:rPr>
          <w:rFonts w:hint="eastAsia"/>
        </w:rPr>
        <w:t>我市参展企业1个，共拨付经费1.982万元，其中：</w:t>
      </w:r>
      <w:r>
        <w:t>企业</w:t>
      </w:r>
      <w:r>
        <w:rPr>
          <w:rFonts w:hint="eastAsia"/>
        </w:rPr>
        <w:t>参展补助1</w:t>
      </w:r>
      <w:r>
        <w:t>万元</w:t>
      </w:r>
      <w:r>
        <w:rPr>
          <w:rFonts w:hint="eastAsia"/>
        </w:rPr>
        <w:t>，（主要补助企业往返交通、食宿、展品等）企业展位费0.982万元</w:t>
      </w:r>
      <w:r>
        <w:t>。</w:t>
      </w:r>
      <w:r>
        <w:rPr>
          <w:rFonts w:hint="eastAsia"/>
        </w:rPr>
        <w:t xml:space="preserve"> </w:t>
      </w:r>
    </w:p>
    <w:p>
      <w:pPr>
        <w:adjustRightInd w:val="0"/>
        <w:snapToGrid w:val="0"/>
        <w:spacing w:line="600" w:lineRule="exact"/>
        <w:ind w:firstLine="720"/>
        <w:rPr>
          <w:rFonts w:ascii="仿宋" w:hAnsi="仿宋" w:eastAsia="仿宋" w:cs="仿宋"/>
          <w:bCs/>
          <w:lang w:val="zh-CN"/>
        </w:rPr>
      </w:pPr>
      <w:r>
        <w:rPr>
          <w:rFonts w:hint="eastAsia" w:ascii="仿宋" w:hAnsi="仿宋" w:eastAsia="仿宋" w:cs="仿宋"/>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总体评价项目实施单位财务管理制度健全，严格执行财务管理制度，账务处理及时，会计核算规范。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（一）项目组织架构及实施流程。项目下达后，农业农村局积极编制实施方案初稿，经局党组会议审核通过，上报绵竹市财政局审批后，积极组织实施。检查实施质量，项目完成后组织验收，兑现项目资金。</w:t>
      </w:r>
    </w:p>
    <w:p>
      <w:pPr>
        <w:adjustRightInd w:val="0"/>
        <w:snapToGrid w:val="0"/>
        <w:spacing w:line="600" w:lineRule="exact"/>
        <w:ind w:firstLine="720"/>
        <w:rPr>
          <w:rFonts w:ascii="仿宋_GB2312" w:hAnsi="宋体"/>
          <w:lang w:val="zh-CN"/>
        </w:rPr>
      </w:pPr>
      <w:r>
        <w:rPr>
          <w:rFonts w:hint="eastAsia" w:ascii="仿宋_GB2312" w:hAnsi="宋体"/>
          <w:lang w:val="zh-CN"/>
        </w:rPr>
        <w:t>（二）项目管理情况。项目的实施严格按照相关法律法规及项目管理制度规定办理。</w:t>
      </w:r>
    </w:p>
    <w:p>
      <w:pPr>
        <w:adjustRightInd w:val="0"/>
        <w:snapToGrid w:val="0"/>
        <w:spacing w:line="600" w:lineRule="exact"/>
        <w:ind w:firstLine="720"/>
        <w:rPr>
          <w:rFonts w:ascii="仿宋_GB2312" w:hAnsi="宋体"/>
          <w:lang w:val="zh-CN"/>
        </w:rPr>
      </w:pPr>
      <w:r>
        <w:rPr>
          <w:rFonts w:hint="eastAsia" w:ascii="仿宋_GB2312" w:hAnsi="宋体"/>
          <w:lang w:val="zh-CN"/>
        </w:rPr>
        <w:t>（三）项目监管情况。积极组织实施，加强监督管理，解决实施中的问题，检查实施质量，有效确保了项目质量和效果。</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仿宋_GB2312" w:hAnsi="宋体"/>
          <w:lang w:val="zh-CN"/>
        </w:rPr>
      </w:pPr>
      <w:r>
        <w:rPr>
          <w:rFonts w:hint="eastAsia" w:ascii="仿宋_GB2312" w:hAnsi="宋体"/>
          <w:lang w:val="zh-CN"/>
        </w:rPr>
        <w:t>截止评价，项目兑现财政资金</w:t>
      </w:r>
      <w:r>
        <w:rPr>
          <w:rFonts w:hint="eastAsia" w:ascii="仿宋" w:hAnsi="仿宋" w:eastAsia="仿宋" w:cs="仿宋"/>
        </w:rPr>
        <w:t>24.408667万元，结余财政资金5.518万元，项目如期</w:t>
      </w:r>
      <w:r>
        <w:rPr>
          <w:rFonts w:hint="eastAsia" w:ascii="仿宋_GB2312" w:hAnsi="宋体"/>
          <w:lang w:val="zh-CN"/>
        </w:rPr>
        <w:t>完成。</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pStyle w:val="2"/>
        <w:numPr>
          <w:ilvl w:val="3"/>
          <w:numId w:val="0"/>
        </w:numPr>
        <w:ind w:firstLine="640" w:firstLineChars="200"/>
        <w:rPr>
          <w:rFonts w:ascii="仿宋" w:hAnsi="仿宋" w:eastAsia="仿宋" w:cs="仿宋"/>
          <w:b w:val="0"/>
          <w:bCs w:val="0"/>
          <w:sz w:val="32"/>
          <w:szCs w:val="32"/>
          <w:lang w:val="zh-CN"/>
        </w:rPr>
      </w:pPr>
      <w:r>
        <w:rPr>
          <w:rFonts w:hint="eastAsia" w:ascii="仿宋" w:hAnsi="仿宋" w:eastAsia="仿宋" w:cs="仿宋"/>
          <w:b w:val="0"/>
          <w:bCs w:val="0"/>
          <w:sz w:val="32"/>
          <w:szCs w:val="32"/>
          <w:lang w:val="zh-CN"/>
        </w:rPr>
        <w:t>项目完成后，有效提升绵竹农业产业化品牌的影响力和知名度，扩大了我市对外交流与合作，增强我市农业综合竞争能力。</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lang w:val="zh-CN"/>
        </w:rPr>
        <w:t>项目选项准确，达到推广农产品品牌、促进农民增收致富的目标，符合项目预期要求。</w:t>
      </w:r>
    </w:p>
    <w:p>
      <w:pPr>
        <w:adjustRightInd w:val="0"/>
        <w:snapToGrid w:val="0"/>
        <w:spacing w:line="600" w:lineRule="exact"/>
        <w:ind w:firstLine="643" w:firstLineChars="200"/>
        <w:rPr>
          <w:rFonts w:ascii="仿宋" w:hAnsi="仿宋" w:eastAsia="仿宋" w:cs="仿宋"/>
          <w:bCs/>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lang w:val="zh-CN"/>
        </w:rPr>
      </w:pPr>
      <w:r>
        <w:rPr>
          <w:rFonts w:hint="eastAsia"/>
          <w:lang w:val="zh-CN"/>
        </w:rPr>
        <w:t>因疫情防控原因，部分企业未能如期参加会展活动。</w:t>
      </w:r>
    </w:p>
    <w:p>
      <w:pPr>
        <w:numPr>
          <w:ilvl w:val="0"/>
          <w:numId w:val="2"/>
        </w:num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相关建议。</w:t>
      </w:r>
    </w:p>
    <w:p>
      <w:pPr>
        <w:pStyle w:val="2"/>
        <w:numPr>
          <w:ilvl w:val="3"/>
          <w:numId w:val="0"/>
        </w:numPr>
        <w:ind w:firstLine="562" w:firstLineChars="200"/>
        <w:rPr>
          <w:sz w:val="32"/>
          <w:szCs w:val="32"/>
        </w:rPr>
      </w:pPr>
      <w:r>
        <w:rPr>
          <w:rFonts w:hint="eastAsia"/>
        </w:rPr>
        <w:t xml:space="preserve"> </w:t>
      </w:r>
      <w:r>
        <w:rPr>
          <w:rFonts w:hint="eastAsia" w:ascii="仿宋" w:hAnsi="仿宋" w:eastAsia="仿宋" w:cs="仿宋"/>
          <w:b w:val="0"/>
          <w:kern w:val="2"/>
          <w:sz w:val="32"/>
          <w:szCs w:val="32"/>
        </w:rPr>
        <w:t>请省厅和德阳市局加强指导。</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E6C4A4"/>
    <w:multiLevelType w:val="singleLevel"/>
    <w:tmpl w:val="D3E6C4A4"/>
    <w:lvl w:ilvl="0" w:tentative="0">
      <w:start w:val="3"/>
      <w:numFmt w:val="chineseCounting"/>
      <w:suff w:val="nothing"/>
      <w:lvlText w:val="（%1）"/>
      <w:lvlJc w:val="left"/>
      <w:rPr>
        <w:rFonts w:hint="eastAsia"/>
      </w:rPr>
    </w:lvl>
  </w:abstractNum>
  <w:abstractNum w:abstractNumId="1">
    <w:nsid w:val="7A05C60B"/>
    <w:multiLevelType w:val="multilevel"/>
    <w:tmpl w:val="7A05C60B"/>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NmRkNDRmY2UwNjUyN2IwYTZjNWQzZWIyZTU2OTEifQ=="/>
  </w:docVars>
  <w:rsids>
    <w:rsidRoot w:val="6EE349C4"/>
    <w:rsid w:val="00095F78"/>
    <w:rsid w:val="002340DD"/>
    <w:rsid w:val="003E6E7D"/>
    <w:rsid w:val="0073501F"/>
    <w:rsid w:val="00CE2889"/>
    <w:rsid w:val="01445335"/>
    <w:rsid w:val="05CD2475"/>
    <w:rsid w:val="05D10BD0"/>
    <w:rsid w:val="0D7A5AA7"/>
    <w:rsid w:val="10E65270"/>
    <w:rsid w:val="119E01A0"/>
    <w:rsid w:val="11E8622F"/>
    <w:rsid w:val="17F6116D"/>
    <w:rsid w:val="1A1F0AA6"/>
    <w:rsid w:val="1E3C3234"/>
    <w:rsid w:val="2D1C5805"/>
    <w:rsid w:val="2F6A13F9"/>
    <w:rsid w:val="30C32F3F"/>
    <w:rsid w:val="323A1A51"/>
    <w:rsid w:val="32C441C1"/>
    <w:rsid w:val="34492B08"/>
    <w:rsid w:val="47C84518"/>
    <w:rsid w:val="4A9E26E2"/>
    <w:rsid w:val="4B16530D"/>
    <w:rsid w:val="4DCA5121"/>
    <w:rsid w:val="4E722A4C"/>
    <w:rsid w:val="539C4E59"/>
    <w:rsid w:val="627B6C40"/>
    <w:rsid w:val="6EE349C4"/>
    <w:rsid w:val="6EE44524"/>
    <w:rsid w:val="7778726C"/>
    <w:rsid w:val="77F5439F"/>
    <w:rsid w:val="7FC91371"/>
    <w:rsid w:val="7FE9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4"/>
    <w:basedOn w:val="1"/>
    <w:next w:val="1"/>
    <w:qFormat/>
    <w:uiPriority w:val="0"/>
    <w:pPr>
      <w:keepNext/>
      <w:keepLines/>
      <w:numPr>
        <w:ilvl w:val="3"/>
        <w:numId w:val="1"/>
      </w:numPr>
      <w:tabs>
        <w:tab w:val="left" w:pos="420"/>
      </w:tabs>
      <w:outlineLvl w:val="3"/>
    </w:pPr>
    <w:rPr>
      <w:rFonts w:ascii="Arial" w:hAnsi="Arial" w:eastAsia="宋体"/>
      <w:b/>
      <w:bCs/>
      <w:kern w:val="0"/>
      <w:sz w:val="28"/>
      <w:szCs w:val="2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312</Words>
  <Characters>1780</Characters>
  <Lines>14</Lines>
  <Paragraphs>4</Paragraphs>
  <TotalTime>6</TotalTime>
  <ScaleCrop>false</ScaleCrop>
  <LinksUpToDate>false</LinksUpToDate>
  <CharactersWithSpaces>2088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2023-01-10T03:20:00Z</dcterms:created>
  <dc:creator>Administrator</dc:creator>
  <cp:lastModifiedBy>Administrator</cp:lastModifiedBy>
  <dcterms:modified xsi:type="dcterms:W3CDTF">2023-04-23T06:57:50Z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CDB2E06B39C14D4787C6641C87C9C5F0</vt:lpwstr>
  </property>
</Properties>
</file>