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黑体" w:hAnsi="黑体" w:eastAsia="黑体"/>
        </w:rPr>
      </w:pPr>
    </w:p>
    <w:p>
      <w:pPr>
        <w:pStyle w:val="9"/>
        <w:spacing w:line="580" w:lineRule="exact"/>
        <w:ind w:firstLine="883"/>
        <w:jc w:val="center"/>
        <w:rPr>
          <w:rFonts w:ascii="??_GB2312" w:hAnsi="宋体" w:eastAsia="Times New Roman"/>
          <w:b/>
          <w:bCs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b/>
          <w:bCs/>
          <w:sz w:val="44"/>
          <w:szCs w:val="44"/>
        </w:rPr>
        <w:t>项目支出绩效自评报告</w:t>
      </w:r>
    </w:p>
    <w:p>
      <w:pPr>
        <w:spacing w:line="580" w:lineRule="exact"/>
        <w:jc w:val="center"/>
        <w:rPr>
          <w:rFonts w:ascii="??_GB2312" w:hAnsi="宋体"/>
        </w:rPr>
      </w:pPr>
      <w:r>
        <w:rPr>
          <w:rFonts w:ascii="??_GB2312" w:hAnsi="宋体" w:eastAsia="Times New Roman"/>
        </w:rPr>
        <w:t xml:space="preserve">       （</w:t>
      </w:r>
      <w:r>
        <w:rPr>
          <w:rFonts w:hint="eastAsia" w:ascii="??_GB2312" w:hAnsi="宋体" w:eastAsiaTheme="minorEastAsia"/>
        </w:rPr>
        <w:t>2022年农产品安全质量监测运行经费</w:t>
      </w:r>
      <w:r>
        <w:rPr>
          <w:rFonts w:ascii="??_GB2312" w:hAnsi="宋体" w:eastAsia="Times New Roman"/>
        </w:rPr>
        <w:t>项目）</w:t>
      </w:r>
    </w:p>
    <w:p>
      <w:pPr>
        <w:pStyle w:val="9"/>
        <w:spacing w:line="580" w:lineRule="exact"/>
        <w:ind w:firstLine="640"/>
        <w:jc w:val="center"/>
        <w:rPr>
          <w:rFonts w:hint="eastAsia" w:ascii="宋体"/>
          <w:color w:val="auto"/>
          <w:kern w:val="2"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  <w:lang w:val="zh-CN"/>
        </w:rPr>
        <w:t>一、项目概况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（一）项目基本情况及项目绩效目标。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根据2022年年初财政部门预算项目的要求，结合实际，制定了《绵竹市农业农村局关于开展2022年农产品质量安全监督抽查和例行风险抽查工作方案的通知》。项目的主要目标任务包括：完成蔬菜、水果等农产品有机</w:t>
      </w:r>
      <w:bookmarkStart w:id="0" w:name="_GoBack"/>
      <w:bookmarkEnd w:id="0"/>
      <w:r>
        <w:rPr>
          <w:rFonts w:hint="eastAsia" w:ascii="仿宋_GB2312" w:hAnsi="仿宋_GB2312" w:eastAsia="仿宋_GB2312" w:cs="仿宋_GB2312"/>
        </w:rPr>
        <w:t>磷、有机氯、除虫菊酯、多菌灵等农残37个指标定量检测500个样品，监督检测50个样品，抽检小麦、水稻、土壤镉重金属检测99个样品。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292929"/>
        </w:rPr>
      </w:pPr>
      <w:r>
        <w:rPr>
          <w:rFonts w:hint="eastAsia" w:ascii="仿宋_GB2312" w:hAnsi="仿宋_GB2312" w:eastAsia="仿宋_GB2312" w:cs="仿宋_GB2312"/>
          <w:color w:val="292929"/>
          <w:lang w:val="zh-CN"/>
        </w:rPr>
        <w:t>该项目主管部门（单位）是绵竹</w:t>
      </w:r>
      <w:r>
        <w:rPr>
          <w:rFonts w:hint="eastAsia" w:ascii="仿宋_GB2312" w:hAnsi="仿宋_GB2312" w:eastAsia="仿宋_GB2312" w:cs="仿宋_GB2312"/>
          <w:color w:val="292929"/>
        </w:rPr>
        <w:t>市农业农村局，主要负责项目实施方案的制订，组织项目实施，资金使用管理等。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292929"/>
        </w:rPr>
      </w:pPr>
      <w:r>
        <w:rPr>
          <w:rFonts w:hint="eastAsia" w:ascii="仿宋_GB2312" w:hAnsi="仿宋_GB2312" w:eastAsia="仿宋_GB2312" w:cs="仿宋_GB2312"/>
          <w:color w:val="292929"/>
        </w:rPr>
        <w:t>年初</w:t>
      </w:r>
      <w:r>
        <w:rPr>
          <w:rFonts w:hint="eastAsia" w:ascii="仿宋_GB2312" w:hAnsi="仿宋_GB2312" w:eastAsia="仿宋_GB2312" w:cs="仿宋_GB2312"/>
        </w:rPr>
        <w:t>财政部门预算项目“农产品安全质量监测运行经费”</w:t>
      </w:r>
      <w:r>
        <w:rPr>
          <w:rFonts w:hint="eastAsia" w:ascii="仿宋_GB2312" w:hAnsi="仿宋_GB2312" w:eastAsia="仿宋_GB2312" w:cs="仿宋_GB2312"/>
          <w:color w:val="292929"/>
        </w:rPr>
        <w:t>，作为农产品质量安全项目</w:t>
      </w:r>
      <w:r>
        <w:rPr>
          <w:rFonts w:hint="eastAsia" w:ascii="仿宋_GB2312" w:hAnsi="仿宋_GB2312" w:eastAsia="仿宋_GB2312" w:cs="仿宋_GB2312"/>
          <w:color w:val="292929"/>
          <w:lang w:val="zh-CN"/>
        </w:rPr>
        <w:t>立项、资金申报的依据。</w:t>
      </w:r>
    </w:p>
    <w:p>
      <w:pPr>
        <w:widowControl/>
        <w:spacing w:line="560" w:lineRule="exact"/>
        <w:ind w:firstLine="640" w:firstLineChars="20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  <w:lang w:val="zh-CN"/>
        </w:rPr>
        <w:t>（二）项目自评步骤及方法。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292929"/>
        </w:rPr>
      </w:pPr>
      <w:r>
        <w:rPr>
          <w:rFonts w:hint="eastAsia" w:ascii="仿宋_GB2312" w:hAnsi="仿宋_GB2312" w:eastAsia="仿宋_GB2312" w:cs="仿宋_GB2312"/>
          <w:color w:val="292929"/>
        </w:rPr>
        <w:t>一是为全面了解工作开展情况及工作成效，切实加强对农产品质量安全项目监督管理，成立项目绩效考评工作组。二是依据制定的监测方案，项目是否按进度完成，完成的质量是否经过省厅的能力验证，三是绵竹市是否发生重大农产品质量安全事件。</w:t>
      </w:r>
    </w:p>
    <w:p>
      <w:pPr>
        <w:widowControl/>
        <w:spacing w:line="560" w:lineRule="exact"/>
        <w:ind w:firstLine="640" w:firstLineChars="200"/>
        <w:rPr>
          <w:rFonts w:ascii="仿宋" w:hAnsi="仿宋" w:eastAsia="仿宋" w:cs="仿宋_GB2312"/>
          <w:color w:val="292929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292929"/>
        </w:rPr>
      </w:pPr>
      <w:r>
        <w:rPr>
          <w:rFonts w:hint="eastAsia" w:ascii="仿宋_GB2312" w:hAnsi="仿宋_GB2312" w:eastAsia="仿宋_GB2312" w:cs="仿宋_GB2312"/>
        </w:rPr>
        <w:t>农产品质量安全项目年初下达资金11.4万元，截止2022年12月底使用资金11.4万元，主要用于抽样检验检测所需的样品购置、专用耗材、小型设备购置、仪器设备的检定校准及维护、资料印刷、废弃物处理、因检测工作需要聘请的检测专业技术人员的劳务费、能力提升等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292929"/>
        </w:rPr>
      </w:pPr>
      <w:r>
        <w:rPr>
          <w:rFonts w:hint="eastAsia" w:ascii="仿宋_GB2312" w:hAnsi="仿宋_GB2312" w:eastAsia="仿宋_GB2312" w:cs="仿宋_GB2312"/>
          <w:color w:val="292929"/>
        </w:rPr>
        <w:t>为确保项目建设廉洁高效，实施项目所使用的试剂、耗材及标准品、设备零配件的更换均公开采购供应商。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292929"/>
          <w:lang w:val="zh-CN"/>
        </w:rPr>
      </w:pPr>
      <w:r>
        <w:rPr>
          <w:rFonts w:hint="eastAsia" w:ascii="仿宋_GB2312" w:hAnsi="仿宋_GB2312" w:eastAsia="仿宋_GB2312" w:cs="仿宋_GB2312"/>
          <w:color w:val="292929"/>
        </w:rPr>
        <w:t>该项目严格按照实施方案的进度安排有序推进工作，资金管理做到专款专用、合理合规，采取报帐制进行管理，按资金使用方案进行开支。</w:t>
      </w:r>
      <w:r>
        <w:rPr>
          <w:rFonts w:hint="eastAsia" w:ascii="仿宋_GB2312" w:hAnsi="仿宋_GB2312" w:eastAsia="仿宋_GB2312" w:cs="仿宋_GB2312"/>
          <w:color w:val="292929"/>
          <w:lang w:val="zh-CN"/>
        </w:rPr>
        <w:t>财务管理制度健全，严格执行财务管理制度，账务处理及时，会计核算规范。</w:t>
      </w:r>
    </w:p>
    <w:p>
      <w:pPr>
        <w:widowControl/>
        <w:spacing w:line="560" w:lineRule="exact"/>
        <w:ind w:firstLine="640" w:firstLineChars="20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292929"/>
        </w:rPr>
      </w:pPr>
      <w:r>
        <w:rPr>
          <w:rFonts w:hint="eastAsia" w:ascii="仿宋" w:hAnsi="仿宋" w:eastAsia="仿宋" w:cs="仿宋_GB2312"/>
          <w:color w:val="292929"/>
        </w:rPr>
        <w:t>（</w:t>
      </w:r>
      <w:r>
        <w:rPr>
          <w:rFonts w:hint="eastAsia" w:ascii="黑体" w:hAnsi="宋体" w:eastAsia="黑体"/>
        </w:rPr>
        <w:t>一）制定科学合理的监测方案。</w:t>
      </w:r>
      <w:r>
        <w:rPr>
          <w:rFonts w:hint="eastAsia" w:ascii="仿宋_GB2312" w:hAnsi="仿宋_GB2312" w:eastAsia="仿宋_GB2312" w:cs="仿宋_GB2312"/>
          <w:color w:val="292929"/>
        </w:rPr>
        <w:t>风险监测的地点及范围涉及全市主要的农产品生产基地，对</w:t>
      </w:r>
      <w:r>
        <w:rPr>
          <w:rFonts w:hint="eastAsia" w:ascii="仿宋_GB2312" w:hAnsi="仿宋_GB2312" w:eastAsia="仿宋_GB2312" w:cs="仿宋_GB2312"/>
        </w:rPr>
        <w:t>农业企业、合作社、 家庭农场、种植大户进行重点抽检。风险监测实行当月抽样，当月检测出结果，</w:t>
      </w:r>
      <w:r>
        <w:rPr>
          <w:rFonts w:hint="eastAsia" w:ascii="仿宋_GB2312" w:hAnsi="仿宋_GB2312" w:eastAsia="仿宋_GB2312" w:cs="仿宋_GB2312"/>
          <w:color w:val="292929"/>
        </w:rPr>
        <w:t>监测种类包括蔬菜、水果、食用菌、小麦、水稻、土壤6大类，每次监测的品种不少于5种。小麦、水稻在11个主产镇乡实行长期定点监测重金属镉。</w:t>
      </w:r>
    </w:p>
    <w:p>
      <w:pPr>
        <w:spacing w:line="560" w:lineRule="exact"/>
        <w:ind w:firstLine="640"/>
        <w:rPr>
          <w:rFonts w:hint="eastAsia" w:ascii="仿宋_GB2312" w:hAnsi="仿宋_GB2312" w:eastAsia="仿宋_GB2312" w:cs="仿宋_GB2312"/>
        </w:rPr>
      </w:pPr>
      <w:r>
        <w:rPr>
          <w:rFonts w:hint="eastAsia" w:ascii="黑体" w:hAnsi="宋体" w:eastAsia="黑体"/>
        </w:rPr>
        <w:t>（二）严格按照标准方法进行抽样及检测。</w:t>
      </w:r>
      <w:r>
        <w:rPr>
          <w:rFonts w:hint="eastAsia" w:ascii="仿宋_GB2312" w:hAnsi="仿宋_GB2312" w:eastAsia="仿宋_GB2312" w:cs="仿宋_GB2312"/>
          <w:b/>
        </w:rPr>
        <w:t>首先</w:t>
      </w:r>
      <w:r>
        <w:rPr>
          <w:rFonts w:hint="eastAsia" w:ascii="仿宋_GB2312" w:hAnsi="仿宋_GB2312" w:eastAsia="仿宋_GB2312" w:cs="仿宋_GB2312"/>
        </w:rPr>
        <w:t>进行了抽样要求：蔬菜、水果、食用菌按《新鲜水果和蔬菜 取样方法》（NY/T 789）、《蔬菜抽样技术规范》（NY/T 2103）规定执行</w:t>
      </w:r>
      <w:r>
        <w:rPr>
          <w:rFonts w:hint="eastAsia" w:ascii="仿宋_GB2312" w:hAnsi="仿宋_GB2312" w:eastAsia="仿宋_GB2312" w:cs="仿宋_GB2312"/>
          <w:bCs/>
        </w:rPr>
        <w:t>。</w:t>
      </w:r>
      <w:r>
        <w:rPr>
          <w:rFonts w:hint="eastAsia" w:ascii="仿宋_GB2312" w:hAnsi="仿宋_GB2312" w:eastAsia="仿宋_GB2312" w:cs="仿宋_GB2312"/>
          <w:b/>
          <w:bCs/>
        </w:rPr>
        <w:t>其次</w:t>
      </w:r>
      <w:r>
        <w:rPr>
          <w:rFonts w:hint="eastAsia" w:ascii="仿宋_GB2312" w:hAnsi="仿宋_GB2312" w:eastAsia="仿宋_GB2312" w:cs="仿宋_GB2312"/>
          <w:bCs/>
        </w:rPr>
        <w:t>对样品的检测项目和检测方法进行了详细的规定。</w:t>
      </w:r>
      <w:r>
        <w:rPr>
          <w:rFonts w:hint="eastAsia" w:ascii="仿宋_GB2312" w:hAnsi="仿宋_GB2312" w:eastAsia="仿宋_GB2312" w:cs="仿宋_GB2312"/>
        </w:rPr>
        <w:t>蔬菜、水果、食用菌的甲胺磷、氧乐果、甲拌磷、对硫磷、甲基对硫磷、甲基异柳磷、水胺硫磷、乐果、敌敌畏、毒死蜱、乙酰甲胺磷、三唑磷、丙溴磷、杀螟硫磷、二嗪磷、马拉硫磷、亚胺硫磷、伏杀硫磷、久效磷、六六六、氯氰菊酯、氰戊菊酯、甲氰菊酯、氯氟氰菊酯、氟氯氰菊酯、溴氰菊酯、联苯菊酯、氟胺氰菊酯、氟氰戊菊酯、三唑酮、百菌清、异菌脲、三氯杀螨醇、腐霉利、乙烯菌核利按NY/T 761-2008方法检测等。</w:t>
      </w:r>
    </w:p>
    <w:p>
      <w:pPr>
        <w:spacing w:line="560" w:lineRule="exact"/>
        <w:ind w:firstLine="640" w:firstLineChars="200"/>
        <w:rPr>
          <w:rFonts w:ascii="仿宋_GB2312" w:eastAsia="仿宋_GB2312"/>
        </w:rPr>
      </w:pPr>
      <w:r>
        <w:rPr>
          <w:rFonts w:hint="eastAsia" w:ascii="黑体" w:hAnsi="宋体" w:eastAsia="黑体"/>
        </w:rPr>
        <w:t>（三）统一判定标准</w:t>
      </w:r>
      <w:r>
        <w:rPr>
          <w:rFonts w:hint="eastAsia" w:ascii="仿宋" w:hAnsi="仿宋" w:eastAsia="仿宋" w:cs="仿宋_GB2312"/>
          <w:color w:val="292929"/>
        </w:rPr>
        <w:t>。</w:t>
      </w:r>
      <w:r>
        <w:rPr>
          <w:rFonts w:hint="eastAsia" w:ascii="仿宋_GB2312" w:eastAsia="仿宋_GB2312"/>
        </w:rPr>
        <w:t>药物残留检测过程中进行了试剂空白和加标回收率试验。每10个样品加一个混合标准溶液，每30个样品做一个加标回收。其中，对药物残留不合格样品用双柱法进行确认。重金属检测带试剂空白和控制样进行质控，做平行样品。上机过程中，每20个点要求做标准曲线校正，正负误差要求在10%以内。</w:t>
      </w:r>
    </w:p>
    <w:p>
      <w:pPr>
        <w:spacing w:line="600" w:lineRule="exact"/>
        <w:ind w:firstLine="643" w:firstLineChars="200"/>
        <w:jc w:val="left"/>
        <w:rPr>
          <w:rFonts w:ascii="仿宋_GB2312" w:eastAsia="仿宋_GB2312"/>
        </w:rPr>
      </w:pPr>
      <w:r>
        <w:rPr>
          <w:rFonts w:hint="eastAsia" w:ascii="宋体" w:hAnsi="宋体"/>
          <w:b/>
          <w:bCs/>
        </w:rPr>
        <w:t>（四）</w:t>
      </w:r>
      <w:r>
        <w:rPr>
          <w:rFonts w:hint="eastAsia" w:ascii="黑体" w:hAnsi="宋体" w:eastAsia="黑体"/>
        </w:rPr>
        <w:t>强化能力验证。</w:t>
      </w:r>
      <w:r>
        <w:rPr>
          <w:rFonts w:hint="eastAsia" w:ascii="仿宋_GB2312" w:eastAsia="仿宋_GB2312"/>
        </w:rPr>
        <w:t>积极参加四川省市场监管局、四川省农业农村厅组织的农产品质检机构检测技术能力验证考试。2022年</w:t>
      </w:r>
      <w:r>
        <w:rPr>
          <w:rFonts w:ascii="仿宋_GB2312" w:eastAsia="仿宋_GB2312"/>
        </w:rPr>
        <w:t xml:space="preserve">6月6日-16日，参加了省农业农村厅、四川省市场监管局组织的农产品质检机构检测技术能力验证考试，验证内容包括：大米中的镉、砷，芹菜中三唑磷、高效氯氟氰菊酯；柑橘中杀扑磷、氰戊菊酯的测定。考试结论为一次性考试合格。 </w:t>
      </w:r>
    </w:p>
    <w:p>
      <w:pPr>
        <w:widowControl/>
        <w:spacing w:line="560" w:lineRule="exact"/>
        <w:ind w:firstLine="640" w:firstLineChars="200"/>
        <w:rPr>
          <w:rFonts w:ascii="仿宋_GB2312" w:eastAsia="仿宋_GB2312"/>
        </w:rPr>
      </w:pPr>
      <w:r>
        <w:rPr>
          <w:rFonts w:ascii="仿宋_GB2312" w:eastAsia="仿宋_GB2312"/>
        </w:rPr>
        <w:t>8月22日-28日，参加了四川省市场监管局组织的土壤样品有机质、全氮检测技术能力验证考试，</w:t>
      </w:r>
      <w:r>
        <w:rPr>
          <w:rFonts w:hint="eastAsia" w:ascii="仿宋_GB2312" w:eastAsia="仿宋_GB2312"/>
        </w:rPr>
        <w:t>全氮合格，有机质结果为补测合格。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</w:rPr>
      </w:pPr>
      <w:r>
        <w:rPr>
          <w:rFonts w:hint="eastAsia" w:ascii="黑体" w:hAnsi="宋体" w:eastAsia="黑体"/>
        </w:rPr>
        <w:t>（五）认真完成风险监测结果总结分析报告。</w:t>
      </w:r>
      <w:r>
        <w:rPr>
          <w:rFonts w:hint="eastAsia" w:ascii="仿宋_GB2312" w:hAnsi="宋体" w:eastAsia="仿宋_GB2312"/>
        </w:rPr>
        <w:t>2022</w:t>
      </w:r>
      <w:r>
        <w:rPr>
          <w:rFonts w:hint="eastAsia" w:ascii="仿宋_GB2312" w:eastAsia="仿宋_GB2312"/>
        </w:rPr>
        <w:t>年完成县级监测540个样品，其中：风险监测482个样品，监督检测58个样品。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2022年完成县级风险监测农药残留监测391个，合格391个，合格率100%，其中蔬菜样品322个，水果样品66个，食用菌样品3个。检测参数包括甲胺磷、氧乐果、甲拌磷、对硫磷、甲基对硫磷、甲基异柳磷、水胺硫磷、乐果、敌敌畏、毒死蜱、乙酰甲胺磷、三唑磷、丙溴磷、杀螟硫磷、二嗪磷、马拉硫磷、亚胺硫磷、伏杀硫磷、久效磷、六六六、氯氰菊酯、氰戊菊酯、甲氰菊酯、氯氟氰菊酯、氟氯氰菊酯、溴氰菊酯、联苯菊酯、氟胺氰菊酯、氟氰戊菊酯、三唑酮、百菌清、异菌脲、三氯杀螨醇、腐霉利、乙烯菌核利等37项。</w:t>
      </w:r>
    </w:p>
    <w:p>
      <w:pPr>
        <w:pStyle w:val="2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</w:rPr>
        <w:t xml:space="preserve">    </w:t>
      </w:r>
      <w:r>
        <w:rPr>
          <w:rFonts w:hint="eastAsia" w:ascii="仿宋_GB2312" w:eastAsia="仿宋_GB2312"/>
          <w:sz w:val="32"/>
        </w:rPr>
        <w:t>2022年完成县级风险监测重金属监测149个样品，其中蔬菜重金属监测50个，合格49个，小麦长期定点监测33个，稻谷33个，土壤33个样品，监测参数为重金属镉。</w:t>
      </w:r>
    </w:p>
    <w:p>
      <w:pPr>
        <w:spacing w:line="600" w:lineRule="exact"/>
        <w:ind w:firstLine="640" w:firstLineChars="200"/>
        <w:jc w:val="left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2022年蔬菜样品的抽样地点覆盖我市12个镇乡（街道），和2021年仅集中在3个镇乡比，抽样地点的覆盖面更广；食用菌样品的抽样地点为玉泉镇、孝德镇；水果样品的抽样地点为汉旺镇、什地镇、剑南街道、富新镇、广济镇、九龙镇、紫岩街道、玉泉镇、麓棠镇9个镇乡。粮食作物小麦、水稻抽样地点为广济镇、紫岩街道、剑南街道、九龙镇、麓棠镇、玉泉镇、新市镇、孝德镇、富新镇、什地镇10个镇乡。</w:t>
      </w:r>
    </w:p>
    <w:p>
      <w:pPr>
        <w:spacing w:line="600" w:lineRule="exact"/>
        <w:ind w:firstLine="640" w:firstLineChars="200"/>
        <w:jc w:val="left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蔬菜、水果和食用菌样品均在本市的农产品生产基地抽取，抽样当天制备、缩分后冷冻保存。所有制备样品每份200克以上,冷冻保存。蔬菜的监测品种为鳞茎类、芸苔属类、叶菜类、瓜类、茎类、根茎类和薯芋类，包括韭菜、葱、结球甘蓝、花椰菜、菜薹、油麦菜、普通白菜、大白菜、、厚皮菜、甘薯叶、南瓜、茎用莴苣、萝卜、马铃薯等本地当时主产蔬菜；水果的监测品种为仁果类、核果类、浆果及其他小型水果、瓜果类4种，包括梨、桃、李子、葡萄、猕猴桃、西瓜等时令水果；食用菌的监测品种为姬菇；确保了监测样本的代表性。</w:t>
      </w:r>
    </w:p>
    <w:p>
      <w:pPr>
        <w:spacing w:line="600" w:lineRule="exact"/>
        <w:ind w:firstLine="160" w:firstLineChars="50"/>
        <w:jc w:val="left"/>
        <w:rPr>
          <w:rFonts w:eastAsia="方正仿宋简体"/>
        </w:rPr>
      </w:pPr>
      <w:r>
        <w:rPr>
          <w:rFonts w:hint="eastAsia" w:ascii="仿宋_GB2312" w:eastAsia="仿宋_GB2312"/>
        </w:rPr>
        <w:t>绵竹市2022年蔬菜、水果、食用菌样品抽取环节详见</w:t>
      </w:r>
      <w:r>
        <w:rPr>
          <w:rFonts w:hint="eastAsia" w:eastAsia="方正仿宋简体"/>
        </w:rPr>
        <w:t>下表：</w:t>
      </w:r>
    </w:p>
    <w:tbl>
      <w:tblPr>
        <w:tblStyle w:val="5"/>
        <w:tblW w:w="9796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1105"/>
        <w:gridCol w:w="929"/>
        <w:gridCol w:w="936"/>
        <w:gridCol w:w="914"/>
        <w:gridCol w:w="1381"/>
        <w:gridCol w:w="926"/>
        <w:gridCol w:w="936"/>
        <w:gridCol w:w="11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主体类型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蔬菜（个）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占%</w:t>
            </w: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水果（个）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占%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食用菌（个）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占%</w:t>
            </w: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合计（个）</w:t>
            </w:r>
          </w:p>
        </w:tc>
        <w:tc>
          <w:tcPr>
            <w:tcW w:w="11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2"/>
              </w:rPr>
              <w:t>占抽样主体%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公司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 xml:space="preserve">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 xml:space="preserve">40.91 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 xml:space="preserve">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2"/>
              </w:rPr>
              <w:t>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家庭农场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 xml:space="preserve">7.34 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 xml:space="preserve">18.18 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 xml:space="preserve">66.67 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2"/>
              </w:rPr>
              <w:t>9%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散户（大户）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222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 xml:space="preserve">77.62 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 xml:space="preserve">25.00 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 xml:space="preserve">33.33 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234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2"/>
              </w:rPr>
              <w:t>70%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市场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 xml:space="preserve">1.40 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 xml:space="preserve">0.00 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 xml:space="preserve">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2"/>
              </w:rPr>
              <w:t>1%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企业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 xml:space="preserve">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 xml:space="preserve">4.55 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 xml:space="preserve">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2"/>
              </w:rPr>
              <w:t>1%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专合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 xml:space="preserve">13.64 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 xml:space="preserve">11.36 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 xml:space="preserve">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2"/>
              </w:rPr>
              <w:t>13%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286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4"/>
                <w:szCs w:val="24"/>
              </w:rPr>
              <w:t>333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hAnsi="宋体" w:eastAsia="方正仿宋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简体" w:hAnsi="宋体" w:eastAsia="方正仿宋简体" w:cs="宋体"/>
                <w:color w:val="000000"/>
                <w:kern w:val="0"/>
                <w:sz w:val="22"/>
              </w:rPr>
              <w:t>100%</w:t>
            </w:r>
          </w:p>
        </w:tc>
      </w:tr>
    </w:tbl>
    <w:p>
      <w:pPr>
        <w:widowControl/>
        <w:spacing w:line="560" w:lineRule="exact"/>
        <w:ind w:firstLine="640" w:firstLineChars="20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（六）管理情况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</w:rPr>
      </w:pPr>
      <w:r>
        <w:rPr>
          <w:rFonts w:hint="eastAsia" w:ascii="仿宋_GB2312" w:eastAsia="仿宋_GB2312"/>
        </w:rPr>
        <w:t>一是制定风险监测方案，落实工作责任分工，统一项目实施行为规范。二是按照进度安排科学合理抽检。三是加强监督管理，项目办不定期开展督导检查，确保政策落实到位。四是规范原始记录档案的管理，确保过程受控。</w:t>
      </w:r>
    </w:p>
    <w:p>
      <w:pPr>
        <w:widowControl/>
        <w:spacing w:line="560" w:lineRule="exact"/>
        <w:ind w:firstLine="640" w:firstLineChars="20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黑体" w:hAnsi="宋体" w:eastAsia="黑体"/>
          <w:lang w:val="zh-CN"/>
        </w:rPr>
        <w:tab/>
      </w:r>
    </w:p>
    <w:p>
      <w:pPr>
        <w:widowControl/>
        <w:spacing w:line="560" w:lineRule="exact"/>
        <w:ind w:firstLine="640" w:firstLineChars="20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  <w:lang w:val="zh-CN"/>
        </w:rPr>
        <w:t>（一）项目完成情况。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/>
        </w:rPr>
      </w:pPr>
      <w:r>
        <w:rPr>
          <w:rFonts w:hint="eastAsia" w:ascii="仿宋" w:hAnsi="仿宋" w:eastAsia="仿宋" w:cs="仿宋_GB2312"/>
          <w:color w:val="292929"/>
        </w:rPr>
        <w:t>按照</w:t>
      </w:r>
      <w:r>
        <w:rPr>
          <w:rFonts w:hint="eastAsia" w:ascii="仿宋_GB2312" w:hAnsi="宋体" w:eastAsia="仿宋_GB2312"/>
        </w:rPr>
        <w:t>《绵竹市农业农村局关于开展2022年</w:t>
      </w:r>
      <w:r>
        <w:rPr>
          <w:rFonts w:ascii="仿宋_GB2312" w:hAnsi="宋体" w:eastAsia="仿宋_GB2312"/>
        </w:rPr>
        <w:t>农产品质量安全</w:t>
      </w:r>
      <w:r>
        <w:rPr>
          <w:rFonts w:hint="eastAsia" w:ascii="仿宋_GB2312" w:hAnsi="宋体" w:eastAsia="仿宋_GB2312"/>
        </w:rPr>
        <w:t>监督抽查和例行风险抽查工作方案的通知》</w:t>
      </w:r>
      <w:r>
        <w:rPr>
          <w:rFonts w:hint="eastAsia" w:ascii="仿宋" w:hAnsi="仿宋" w:eastAsia="仿宋" w:cs="仿宋_GB2312"/>
          <w:color w:val="292929"/>
        </w:rPr>
        <w:t>的要求，</w:t>
      </w:r>
      <w:r>
        <w:rPr>
          <w:rFonts w:hint="eastAsia" w:ascii="仿宋_GB2312" w:hAnsi="宋体" w:eastAsia="仿宋_GB2312"/>
        </w:rPr>
        <w:t>全年完成风险</w:t>
      </w:r>
      <w:r>
        <w:rPr>
          <w:rFonts w:ascii="仿宋_GB2312" w:hAnsi="宋体" w:eastAsia="仿宋_GB2312"/>
        </w:rPr>
        <w:t>监测任务为</w:t>
      </w:r>
      <w:r>
        <w:rPr>
          <w:rFonts w:hint="eastAsia" w:ascii="仿宋_GB2312" w:hAnsi="宋体" w:eastAsia="仿宋_GB2312"/>
        </w:rPr>
        <w:t>500个样品，实际完成540个样品的监测，完成108%，</w:t>
      </w:r>
      <w:r>
        <w:rPr>
          <w:rFonts w:ascii="仿宋_GB2312" w:hAnsi="宋体" w:eastAsia="仿宋_GB2312"/>
        </w:rPr>
        <w:t>检测参数为</w:t>
      </w:r>
      <w:r>
        <w:rPr>
          <w:rFonts w:hint="eastAsia" w:ascii="仿宋_GB2312" w:hAnsi="宋体" w:eastAsia="仿宋_GB2312"/>
        </w:rPr>
        <w:t>有机磷、有机氯、拟除虫菊酯37项农药残留指标进行风险监测，抽检小麦、水稻、土壤镉重金属检测99个样品，实际完成99个样品的检测，完成100%。</w:t>
      </w:r>
    </w:p>
    <w:p>
      <w:pPr>
        <w:widowControl/>
        <w:spacing w:line="560" w:lineRule="exact"/>
        <w:ind w:firstLine="640" w:firstLineChars="200"/>
        <w:rPr>
          <w:rFonts w:ascii="仿宋" w:hAnsi="仿宋" w:eastAsia="仿宋" w:cs="仿宋_GB2312"/>
          <w:color w:val="292929"/>
        </w:rPr>
      </w:pPr>
      <w:r>
        <w:rPr>
          <w:rFonts w:hint="eastAsia" w:ascii="仿宋" w:hAnsi="仿宋" w:eastAsia="仿宋" w:cs="仿宋_GB2312"/>
          <w:color w:val="292929"/>
          <w:lang w:val="zh-CN"/>
        </w:rPr>
        <w:t>（</w:t>
      </w:r>
      <w:r>
        <w:rPr>
          <w:rFonts w:hint="eastAsia" w:ascii="黑体" w:hAnsi="宋体" w:eastAsia="黑体"/>
          <w:lang w:val="zh-CN"/>
        </w:rPr>
        <w:t>二）项目效益情况。</w:t>
      </w:r>
    </w:p>
    <w:p>
      <w:pPr>
        <w:widowControl/>
        <w:spacing w:line="560" w:lineRule="exact"/>
        <w:ind w:firstLine="640" w:firstLineChars="20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  <w:lang w:val="zh-CN"/>
        </w:rPr>
        <w:t>1、筛选出了我市大宗农产品的主要风险因子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（1）监测种类分析</w:t>
      </w:r>
    </w:p>
    <w:p>
      <w:pPr>
        <w:spacing w:line="600" w:lineRule="exact"/>
        <w:ind w:firstLine="640" w:firstLineChars="200"/>
        <w:jc w:val="left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农药残留监测分析：从监测种类来看，本次监测蔬菜样品286个，其中：鳞茎类23个、芸苔属类57个、叶菜类107个、茎类24个、豆类9个，茄果类17个，瓜类19个，根茎类和薯芋类30个。有农药检出的样品45个，其中：鳞茎类5个、芸苔属类9个、叶菜类18个、茎类4个、根茎类7个、豆类2个。监测的食用菌样品种类为姬菇3个，均无农药检出。监测的水果样品44个，其中：柑橘类1个，仁果类2个，核果类6个个，浆果及其它小型水果34个，瓜类水果1个；有农药检出的样品19个，核果类3个，浆果及其它小型水果16个。</w:t>
      </w:r>
    </w:p>
    <w:p>
      <w:pPr>
        <w:widowControl/>
        <w:spacing w:line="600" w:lineRule="exact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重金属监测分析：2022年县级重金属专项监测参数为镉。监测的粮食作物中，小麦共33个，合格21个，合格率63.63%；水稻共33个，合格9个，合格率27.27%；蔬菜50个，合格49个，合格率98%。</w:t>
      </w:r>
    </w:p>
    <w:p>
      <w:pPr>
        <w:widowControl/>
        <w:spacing w:line="600" w:lineRule="exact"/>
        <w:ind w:firstLine="640" w:firstLineChars="200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（2）监测品种分析</w:t>
      </w:r>
    </w:p>
    <w:p>
      <w:pPr>
        <w:widowControl/>
        <w:jc w:val="left"/>
        <w:rPr>
          <w:rFonts w:hint="eastAsia" w:ascii="仿宋_GB2312" w:hAnsi="宋体" w:eastAsia="仿宋_GB2312" w:cs="宋体"/>
          <w:color w:val="000000"/>
          <w:kern w:val="0"/>
          <w:sz w:val="20"/>
          <w:szCs w:val="20"/>
        </w:rPr>
      </w:pPr>
      <w:r>
        <w:rPr>
          <w:rFonts w:hint="eastAsia" w:ascii="仿宋_GB2312" w:eastAsia="仿宋_GB2312"/>
        </w:rPr>
        <w:t>从监测品种来看，有农药检出的蔬菜为韭菜、结球甘蓝、花椰菜、菜薹、球茎甘蓝、球茎甘蓝(苤头)、抱子芥、芥菜(大头菜、青菜头)、芹菜、油麦菜、豌豆尖、普通白菜(小白菜、青菜、瓢儿白)、大白菜、苋菜、茎用莴苣、豇豆、萝卜；有农药检出的水果为李子、桃、葡萄、猕猴桃；食用菌无检出。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（3）监测参数分析</w:t>
      </w:r>
    </w:p>
    <w:p>
      <w:pPr>
        <w:spacing w:line="600" w:lineRule="exact"/>
        <w:ind w:firstLine="640" w:firstLineChars="200"/>
        <w:jc w:val="left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从监测参数来看，本次监测的37个参数中，蔬菜类样品有限用药检出1种，常规农药检出14种，占总参数的40.5%。其中：限用农药乙酰甲胺磷检出1次，百菌清检出1次，吡虫啉3次，敌敌畏6次，多菌灵1次，二唪磷7次，腐霉利检出11次，联苯菊酯检出2次，氯氟氰菊酯检出5次，异菌脲检出5次，氯氰菊酯检出3次，氟氰戊菊酯检出3次，氰戊菊酯检出2次，溴氰菊酯检出1次，乙烯菌核利检出2次，；水果类样品也无禁用药和限用药检出，常规农药检出5种，甲氰菊酯检出1次，腐霉利检出9次氯氟氰菊酯检出9次，异菌脲各检出1次，氰戊菊酯检出3次。食用菌和茶叶无农药检出。</w:t>
      </w:r>
    </w:p>
    <w:p>
      <w:pPr>
        <w:spacing w:line="600" w:lineRule="exact"/>
        <w:ind w:firstLine="640" w:firstLineChars="200"/>
        <w:jc w:val="left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重金属镉监测，粮食作物130个小麦样品重金属的检出情况为合格样品105个，210个水稻样品重金属镉的检出情况为合格样品144个，100个蔬菜样品合格样品99个，不合格样品1个，为芹菜。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（4）监测环节分析</w:t>
      </w:r>
    </w:p>
    <w:p>
      <w:pPr>
        <w:spacing w:line="600" w:lineRule="exact"/>
        <w:ind w:firstLine="640" w:firstLineChars="200"/>
        <w:jc w:val="left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本次监测中，蔬菜样品中有农药检出的45个样品，3个来自家庭农场、5个来自专业合作社、37个来自散户（含大户）；水果样品中有农药检出的19个样品，7个来自家庭农场，1个来自专业合作社, 7个来自企业（公司），4个来自散户（含大户）。食用菌无农药检出。</w:t>
      </w:r>
    </w:p>
    <w:p>
      <w:pPr>
        <w:spacing w:line="560" w:lineRule="exact"/>
        <w:ind w:firstLine="640" w:firstLineChars="200"/>
        <w:jc w:val="left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  <w:lang w:val="zh-CN"/>
        </w:rPr>
        <w:t>2、项目实施的社会效益</w:t>
      </w:r>
    </w:p>
    <w:p>
      <w:pPr>
        <w:widowControl/>
        <w:spacing w:line="560" w:lineRule="exact"/>
        <w:ind w:firstLine="640" w:firstLineChars="200"/>
        <w:rPr>
          <w:rFonts w:ascii="仿宋" w:hAnsi="仿宋" w:eastAsia="仿宋" w:cs="仿宋_GB2312"/>
          <w:color w:val="292929"/>
        </w:rPr>
      </w:pPr>
      <w:r>
        <w:rPr>
          <w:rFonts w:hint="eastAsia" w:ascii="仿宋" w:hAnsi="仿宋" w:eastAsia="仿宋" w:cs="仿宋_GB2312"/>
          <w:color w:val="292929"/>
        </w:rPr>
        <w:t>确保消费者吃上放心农产品，掌握绵竹市农产品质量安全状况。</w:t>
      </w:r>
    </w:p>
    <w:p>
      <w:pPr>
        <w:widowControl/>
        <w:spacing w:line="560" w:lineRule="exact"/>
        <w:ind w:firstLine="640" w:firstLineChars="20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  <w:lang w:val="zh-CN"/>
        </w:rPr>
        <w:t>五、评价结论及建议</w:t>
      </w:r>
    </w:p>
    <w:p>
      <w:pPr>
        <w:widowControl/>
        <w:spacing w:line="560" w:lineRule="exact"/>
        <w:ind w:firstLine="640" w:firstLineChars="20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  <w:lang w:val="zh-CN"/>
        </w:rPr>
        <w:t>（一）评价结论。</w:t>
      </w:r>
    </w:p>
    <w:p>
      <w:pPr>
        <w:spacing w:line="600" w:lineRule="exact"/>
        <w:ind w:firstLine="640" w:firstLineChars="200"/>
        <w:jc w:val="left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从监测的种类看，鳞茎类、芸苔属类、叶菜类、茎类、豆类、茄果类、瓜类、根茎类和薯芋类；水果中，仁果类、核果类和浆果及其他小型水果类均有农药检出。应将上述种类纳入重点风险监控名单重点监测，对名单中的生产经营主体及产品进行监督抽检，同时加大执法力度；从监测环节看，应加强对蔬菜种植专合社及家庭农场、农业企业的用药培训和指导，规范其生产、经营行为，通过专合社及家庭农场辐射带动周边散户用药行为。粮食作物重金属超标问题，要积极探索土壤修复技术，对受污染耕地进行改种高粱、改种玉米、改种低积累品种的“三改”示范，全面推进受污染耕地安全利用，采取“调品种、调结构、调水份、调土壤、调农艺”的“五调”措施，最大程度降低粮食重金属超标率，保障人民群众身体健康。</w:t>
      </w:r>
    </w:p>
    <w:p>
      <w:pPr>
        <w:spacing w:line="560" w:lineRule="exact"/>
        <w:ind w:firstLine="640" w:firstLineChars="200"/>
        <w:jc w:val="left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  <w:lang w:val="zh-CN"/>
        </w:rPr>
        <w:t>（二）存在的问题及相关建议。</w:t>
      </w:r>
    </w:p>
    <w:p>
      <w:pPr>
        <w:widowControl/>
        <w:spacing w:line="560" w:lineRule="exact"/>
        <w:ind w:firstLine="640" w:firstLineChars="200"/>
        <w:rPr>
          <w:rFonts w:ascii="仿宋" w:hAnsi="仿宋" w:eastAsia="仿宋" w:cs="仿宋_GB2312"/>
          <w:color w:val="292929"/>
        </w:rPr>
      </w:pPr>
      <w:r>
        <w:rPr>
          <w:rFonts w:hint="eastAsia" w:ascii="仿宋" w:hAnsi="仿宋" w:eastAsia="仿宋" w:cs="仿宋_GB2312"/>
          <w:color w:val="292929"/>
        </w:rPr>
        <w:t>1、专业技术人员缺乏。</w:t>
      </w:r>
    </w:p>
    <w:p>
      <w:pPr>
        <w:widowControl/>
        <w:spacing w:line="560" w:lineRule="exact"/>
        <w:ind w:firstLine="640" w:firstLineChars="200"/>
        <w:rPr>
          <w:rFonts w:ascii="仿宋" w:hAnsi="仿宋" w:eastAsia="仿宋" w:cs="仿宋_GB2312"/>
          <w:color w:val="292929"/>
        </w:rPr>
      </w:pPr>
      <w:r>
        <w:rPr>
          <w:rFonts w:hint="eastAsia" w:ascii="仿宋" w:hAnsi="仿宋" w:eastAsia="仿宋" w:cs="仿宋_GB2312"/>
          <w:color w:val="292929"/>
        </w:rPr>
        <w:t>2、设备比较陈旧，准确度和精确度不能满足检测指标的要求。</w:t>
      </w:r>
    </w:p>
    <w:p>
      <w:pPr>
        <w:widowControl/>
        <w:spacing w:line="560" w:lineRule="exact"/>
        <w:ind w:firstLine="640" w:firstLineChars="200"/>
        <w:rPr>
          <w:rFonts w:ascii="仿宋" w:hAnsi="仿宋" w:eastAsia="仿宋" w:cs="仿宋_GB2312"/>
          <w:color w:val="292929"/>
        </w:rPr>
      </w:pPr>
    </w:p>
    <w:p>
      <w:pPr>
        <w:widowControl/>
        <w:spacing w:line="560" w:lineRule="exact"/>
        <w:ind w:firstLine="640" w:firstLineChars="200"/>
        <w:rPr>
          <w:rFonts w:ascii="仿宋" w:hAnsi="仿宋" w:eastAsia="仿宋" w:cs="仿宋_GB2312"/>
          <w:color w:val="292929"/>
        </w:rPr>
      </w:pPr>
    </w:p>
    <w:p>
      <w:pPr>
        <w:widowControl/>
        <w:spacing w:line="560" w:lineRule="exact"/>
        <w:ind w:firstLine="640" w:firstLineChars="200"/>
        <w:rPr>
          <w:rFonts w:ascii="仿宋" w:hAnsi="仿宋" w:eastAsia="仿宋" w:cs="仿宋_GB2312"/>
          <w:color w:val="292929"/>
        </w:rPr>
      </w:pPr>
    </w:p>
    <w:p>
      <w:pPr>
        <w:widowControl/>
        <w:spacing w:line="560" w:lineRule="exact"/>
        <w:ind w:firstLine="640" w:firstLineChars="200"/>
        <w:rPr>
          <w:rFonts w:ascii="仿宋" w:hAnsi="仿宋" w:eastAsia="仿宋" w:cs="仿宋_GB2312"/>
          <w:color w:val="292929"/>
        </w:rPr>
      </w:pPr>
    </w:p>
    <w:p>
      <w:pPr>
        <w:widowControl/>
        <w:spacing w:line="560" w:lineRule="exact"/>
        <w:ind w:firstLine="5440" w:firstLineChars="1700"/>
        <w:rPr>
          <w:rFonts w:ascii="仿宋" w:hAnsi="仿宋" w:eastAsia="仿宋" w:cs="仿宋_GB2312"/>
          <w:color w:val="292929"/>
        </w:rPr>
      </w:pPr>
      <w:r>
        <w:rPr>
          <w:rFonts w:hint="eastAsia" w:ascii="仿宋" w:hAnsi="仿宋" w:eastAsia="仿宋" w:cs="仿宋_GB2312"/>
          <w:color w:val="292929"/>
        </w:rPr>
        <w:t>绵竹市农业农村局</w:t>
      </w:r>
    </w:p>
    <w:p>
      <w:pPr>
        <w:widowControl/>
        <w:spacing w:line="560" w:lineRule="exact"/>
        <w:ind w:firstLine="5440" w:firstLineChars="1700"/>
        <w:rPr>
          <w:rFonts w:ascii="仿宋" w:hAnsi="仿宋" w:eastAsia="仿宋" w:cs="仿宋_GB2312"/>
          <w:color w:val="292929"/>
        </w:rPr>
      </w:pPr>
      <w:r>
        <w:rPr>
          <w:rFonts w:hint="eastAsia" w:ascii="仿宋" w:hAnsi="仿宋" w:eastAsia="仿宋" w:cs="仿宋_GB2312"/>
          <w:color w:val="292929"/>
        </w:rPr>
        <w:t>2023年</w:t>
      </w:r>
      <w:r>
        <w:rPr>
          <w:rFonts w:hint="eastAsia" w:ascii="仿宋" w:hAnsi="仿宋" w:eastAsia="仿宋" w:cs="仿宋_GB2312"/>
          <w:color w:val="292929"/>
          <w:lang w:val="en-US" w:eastAsia="zh-CN"/>
        </w:rPr>
        <w:t>4</w:t>
      </w:r>
      <w:r>
        <w:rPr>
          <w:rFonts w:hint="eastAsia" w:ascii="仿宋" w:hAnsi="仿宋" w:eastAsia="仿宋" w:cs="仿宋_GB2312"/>
          <w:color w:val="292929"/>
        </w:rPr>
        <w:t>月10日</w:t>
      </w:r>
    </w:p>
    <w:sectPr>
      <w:footerReference r:id="rId3" w:type="default"/>
      <w:pgSz w:w="11906" w:h="16838"/>
      <w:pgMar w:top="1440" w:right="1576" w:bottom="1213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altName w:val="仿宋_GB2312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简体">
    <w:altName w:val="宋体"/>
    <w:panose1 w:val="02010601030101010101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18010332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9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D3EFA"/>
    <w:rsid w:val="00027886"/>
    <w:rsid w:val="00086C48"/>
    <w:rsid w:val="000A3F41"/>
    <w:rsid w:val="000B245B"/>
    <w:rsid w:val="000D228F"/>
    <w:rsid w:val="000D70F5"/>
    <w:rsid w:val="00100177"/>
    <w:rsid w:val="00105735"/>
    <w:rsid w:val="00121549"/>
    <w:rsid w:val="001878E5"/>
    <w:rsid w:val="001B6D36"/>
    <w:rsid w:val="00232707"/>
    <w:rsid w:val="002440C9"/>
    <w:rsid w:val="002448DF"/>
    <w:rsid w:val="00291918"/>
    <w:rsid w:val="002D7D17"/>
    <w:rsid w:val="002E7D7A"/>
    <w:rsid w:val="002F04D3"/>
    <w:rsid w:val="002F2CB2"/>
    <w:rsid w:val="003110EA"/>
    <w:rsid w:val="003301D8"/>
    <w:rsid w:val="00334717"/>
    <w:rsid w:val="00336135"/>
    <w:rsid w:val="00386626"/>
    <w:rsid w:val="00394648"/>
    <w:rsid w:val="003C20F2"/>
    <w:rsid w:val="003D127C"/>
    <w:rsid w:val="004046AD"/>
    <w:rsid w:val="0040632C"/>
    <w:rsid w:val="00411550"/>
    <w:rsid w:val="0044685C"/>
    <w:rsid w:val="004E1DF7"/>
    <w:rsid w:val="004E1EB8"/>
    <w:rsid w:val="004E768B"/>
    <w:rsid w:val="005028D2"/>
    <w:rsid w:val="00543D64"/>
    <w:rsid w:val="00572F4E"/>
    <w:rsid w:val="005845C6"/>
    <w:rsid w:val="00606C2A"/>
    <w:rsid w:val="00671AC1"/>
    <w:rsid w:val="006A4940"/>
    <w:rsid w:val="006A63B7"/>
    <w:rsid w:val="006A7E96"/>
    <w:rsid w:val="006D7567"/>
    <w:rsid w:val="00713E52"/>
    <w:rsid w:val="00767CBE"/>
    <w:rsid w:val="007B49F4"/>
    <w:rsid w:val="007B4D16"/>
    <w:rsid w:val="00812A13"/>
    <w:rsid w:val="00823944"/>
    <w:rsid w:val="008A1C1C"/>
    <w:rsid w:val="008F6FBC"/>
    <w:rsid w:val="008F788A"/>
    <w:rsid w:val="009131D6"/>
    <w:rsid w:val="00923345"/>
    <w:rsid w:val="00943028"/>
    <w:rsid w:val="009D60EA"/>
    <w:rsid w:val="009D714F"/>
    <w:rsid w:val="009D7540"/>
    <w:rsid w:val="00A13647"/>
    <w:rsid w:val="00A3248E"/>
    <w:rsid w:val="00A52F3A"/>
    <w:rsid w:val="00A66D4F"/>
    <w:rsid w:val="00AC4980"/>
    <w:rsid w:val="00B6025F"/>
    <w:rsid w:val="00BE0F50"/>
    <w:rsid w:val="00C0170D"/>
    <w:rsid w:val="00C109E2"/>
    <w:rsid w:val="00C31186"/>
    <w:rsid w:val="00C61F9D"/>
    <w:rsid w:val="00C6449F"/>
    <w:rsid w:val="00D25B1B"/>
    <w:rsid w:val="00D36E46"/>
    <w:rsid w:val="00D85843"/>
    <w:rsid w:val="00DB6789"/>
    <w:rsid w:val="00DD6125"/>
    <w:rsid w:val="00DF3D5A"/>
    <w:rsid w:val="00E4357F"/>
    <w:rsid w:val="00E72FDE"/>
    <w:rsid w:val="00E75216"/>
    <w:rsid w:val="00E85D8D"/>
    <w:rsid w:val="00EE39E1"/>
    <w:rsid w:val="00EF5270"/>
    <w:rsid w:val="00F24721"/>
    <w:rsid w:val="00F251E9"/>
    <w:rsid w:val="00FA7971"/>
    <w:rsid w:val="00FB238A"/>
    <w:rsid w:val="00FD3EFA"/>
    <w:rsid w:val="00FD62E7"/>
    <w:rsid w:val="00FF5832"/>
    <w:rsid w:val="03353231"/>
    <w:rsid w:val="059B1E69"/>
    <w:rsid w:val="05FE0D39"/>
    <w:rsid w:val="06317483"/>
    <w:rsid w:val="063F12C1"/>
    <w:rsid w:val="06CC1F10"/>
    <w:rsid w:val="08355ADD"/>
    <w:rsid w:val="08B1197F"/>
    <w:rsid w:val="08EB044B"/>
    <w:rsid w:val="08FB32A3"/>
    <w:rsid w:val="09402270"/>
    <w:rsid w:val="10603525"/>
    <w:rsid w:val="11021D0D"/>
    <w:rsid w:val="120874C5"/>
    <w:rsid w:val="12D5457F"/>
    <w:rsid w:val="1D0A37FD"/>
    <w:rsid w:val="1E2C2CCF"/>
    <w:rsid w:val="1F0E3305"/>
    <w:rsid w:val="20B3597C"/>
    <w:rsid w:val="23261B35"/>
    <w:rsid w:val="23ED0264"/>
    <w:rsid w:val="259A6F22"/>
    <w:rsid w:val="28264035"/>
    <w:rsid w:val="28C300FA"/>
    <w:rsid w:val="2A3E4020"/>
    <w:rsid w:val="2ADC47FC"/>
    <w:rsid w:val="31A13244"/>
    <w:rsid w:val="333556F1"/>
    <w:rsid w:val="33A71323"/>
    <w:rsid w:val="360B5CC0"/>
    <w:rsid w:val="3D324D96"/>
    <w:rsid w:val="3D9F74B0"/>
    <w:rsid w:val="40410627"/>
    <w:rsid w:val="44987295"/>
    <w:rsid w:val="476C55E1"/>
    <w:rsid w:val="49555057"/>
    <w:rsid w:val="4ACC02BE"/>
    <w:rsid w:val="4DD91393"/>
    <w:rsid w:val="4DEF5C6D"/>
    <w:rsid w:val="4E2138BA"/>
    <w:rsid w:val="55084399"/>
    <w:rsid w:val="58E16A7B"/>
    <w:rsid w:val="5FC0589C"/>
    <w:rsid w:val="619D46AA"/>
    <w:rsid w:val="621D06F8"/>
    <w:rsid w:val="63E54FD9"/>
    <w:rsid w:val="63E80D88"/>
    <w:rsid w:val="64406152"/>
    <w:rsid w:val="670D26E1"/>
    <w:rsid w:val="6F08521F"/>
    <w:rsid w:val="71987EDA"/>
    <w:rsid w:val="784A3407"/>
    <w:rsid w:val="78576C60"/>
    <w:rsid w:val="78745673"/>
    <w:rsid w:val="7C656EC7"/>
    <w:rsid w:val="7D8677B5"/>
    <w:rsid w:val="7DEF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28"/>
    </w:rPr>
  </w:style>
  <w:style w:type="paragraph" w:styleId="3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7">
    <w:name w:val="页脚 Char"/>
    <w:basedOn w:val="6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cs="Times New Roman"/>
      <w:sz w:val="18"/>
      <w:szCs w:val="18"/>
    </w:rPr>
  </w:style>
  <w:style w:type="paragraph" w:customStyle="1" w:styleId="9">
    <w:name w:val="四号正文"/>
    <w:basedOn w:val="1"/>
    <w:link w:val="10"/>
    <w:qFormat/>
    <w:uiPriority w:val="99"/>
    <w:pPr>
      <w:spacing w:line="360" w:lineRule="auto"/>
    </w:pPr>
    <w:rPr>
      <w:rFonts w:ascii="??" w:hAnsi="??"/>
      <w:color w:val="000000"/>
      <w:kern w:val="0"/>
      <w:sz w:val="21"/>
      <w:szCs w:val="20"/>
    </w:rPr>
  </w:style>
  <w:style w:type="character" w:customStyle="1" w:styleId="10">
    <w:name w:val="四号正文 Char"/>
    <w:link w:val="9"/>
    <w:qFormat/>
    <w:locked/>
    <w:uiPriority w:val="99"/>
    <w:rPr>
      <w:rFonts w:ascii="??" w:hAnsi="??" w:eastAsia="宋体"/>
      <w:color w:val="000000"/>
      <w:kern w:val="0"/>
      <w:sz w:val="21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679</Words>
  <Characters>3872</Characters>
  <Lines>32</Lines>
  <Paragraphs>9</Paragraphs>
  <TotalTime>15</TotalTime>
  <ScaleCrop>false</ScaleCrop>
  <LinksUpToDate>false</LinksUpToDate>
  <CharactersWithSpaces>4542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2023-01-10T07:32:00Z</dcterms:created>
  <dc:creator>opi</dc:creator>
  <cp:lastModifiedBy>Administrator</cp:lastModifiedBy>
  <dcterms:modified xsi:type="dcterms:W3CDTF">2023-04-23T03:36:29Z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